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21-DCC-189 of October 18, 2021  </w:t>
        <w:br/>
        <w:t xml:space="preserve">regarding the creation of a full-function joint venture by  </w:t>
        <w:br/>
        <w:t xml:space="preserve">the companies ITM Entreprises and Jovinus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15, 2021, concerning the creation of the joint venture Sudor by the companies ITM  </w:t>
        <w:br/>
        <w:t xml:space="preserve">Entreprises and Jovinus, formalized by the articles of association of the company Sudor and the shareholders' agreement signed on September 3,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creation by the companies ITM Entreprises and Jovinus of a  </w:t>
        <w:br/>
        <w:t xml:space="preserve">joint venture named Sudor, which will operate a commercial establishment predominantly focused on food of the supermarket and discount store type with a surface area of 955 m²  </w:t>
        <w:br/>
        <w:t xml:space="preserve">under the Netto brand in Orange (84).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retail control thresholds mentioned in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21-211 is authorized.  </w:t>
        <w:br/>
        <w:t xml:space="preserve">The interim president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