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https://www.autoritedelaconcurrence.fr/fr/decision-de-controle-des-concentrations/relative-la-creation-dune-entreprise-commune-de-plein-19</w:t>
      </w:r>
    </w:p>
    <w:p>
      <w:r>
        <w:t>Pages translated : 2</w:t>
      </w:r>
    </w:p>
    <w:p/>
    <w:p>
      <w:r>
        <w:rPr>
          <w:b/>
        </w:rPr>
        <w:t>[Pages 1–2]</w:t>
      </w:r>
    </w:p>
    <w:p>
      <w:r>
        <w:t xml:space="preserve">FRENCH REPUBLIC  </w:t>
        <w:br/>
        <w:t xml:space="preserve">Decision No. 22-DCC-51 of April 11, 2022  </w:t>
        <w:br/>
        <w:t xml:space="preserve">regarding the creation of a full-function joint venture by  </w:t>
        <w:br/>
        <w:t xml:space="preserve">the companies Bridgepoint SAS and Mentor  </w:t>
        <w:br/>
        <w:t xml:space="preserve">The Competition Authority,  </w:t>
        <w:br/>
        <w:t xml:space="preserve">Having regard to the complete notification file submitted to the mergers department on March 23, 2022,  </w:t>
        <w:br/>
        <w:t xml:space="preserve">concerning the creation of a full-function joint venture by the companies  </w:t>
        <w:br/>
        <w:t xml:space="preserve">Bridgepoint SAS and Mentor, formalized by a unilateral purchase promise and an investment commitment letter dated January 16,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creation of a full-function joint venture by the  </w:t>
        <w:br/>
        <w:t xml:space="preserve">companies Bridgepoint SAS and Mentor, both active notably in the banking and insurance sectors. The joint venture will combine the activities of the companies Kereis Retail and iRegroup, currently exclusively controlled by Bridgepoint SAS, and the companies Spartfin, Netimark, Devissima, and Epargne Concept, currently exclusively controlled by Mentor. The joint venture will primarily operate in the sectors of banking intermediation and the distribution of insurance products on behalf of third parties. It constitutes a concentration operation within the meaning of Article L. 430-1 of the Commercial Code.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22-034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