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https://www.autoritedelaconcurrence.fr/fr/decision-de-controle-des-concentrations/relative-la-creation-dune-entreprise-commune-de-plein-21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23-DCC-01 of January 2, 2023  </w:t>
        <w:br/>
        <w:t xml:space="preserve">regarding the creation of a full-function joint venture by  </w:t>
        <w:br/>
        <w:t xml:space="preserve">the companies EDF and Vicat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15, 2022, concerning the creation of a full-function joint venture, Hynovi,  </w:t>
        <w:br/>
        <w:t xml:space="preserve">by the companies EDF and Vicat, formalized by a cooperation agreement dated April 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by the company EDF, through its subsidiary  </w:t>
        <w:br/>
        <w:t xml:space="preserve">Hynamics, and the company Vicat of a full-function joint venture named Hynovi,  </w:t>
        <w:br/>
        <w:t xml:space="preserve">which will be active in the sector of decarbonized methanol production. It constitutes a  </w:t>
        <w:br/>
        <w:t xml:space="preserve">concentration within the meaning of Article L. 430-1 of the Commercial Code. Given the revenues  </w:t>
        <w:br/>
        <w:t xml:space="preserve">generated by the companies concerned, the operation does not fall under the jurisdiction of  </w:t>
        <w:br/>
        <w:t xml:space="preserve">the European Union. However, the control thresholds mentioned in I of Article L. 430-2 of the  </w:t>
        <w:br/>
        <w:t xml:space="preserve">Commercial Code are exceeded. The present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22-247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