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https://www.autoritedelaconcurrence.fr/fr/decision-de-controle-des-concentrations/relative-la-creation-dune-entreprise-commune-de-plein-29</w:t>
      </w:r>
    </w:p>
    <w:p>
      <w:r>
        <w:t>Pages translated : 2</w:t>
      </w:r>
    </w:p>
    <w:p/>
    <w:p>
      <w:r>
        <w:rPr>
          <w:b/>
        </w:rPr>
        <w:t>[Pages 1–2]</w:t>
      </w:r>
    </w:p>
    <w:p>
      <w:r>
        <w:t xml:space="preserve">FRENCH REPUBLIC  </w:t>
        <w:br/>
        <w:t xml:space="preserve">Decision No. 23-DCC-217 of October 20, 2023  </w:t>
        <w:br/>
        <w:t xml:space="preserve">regarding the creation of a full-function joint venture by  </w:t>
        <w:br/>
        <w:t>the Caisse des dépôts et consignations and the Société nationale des chemins de fer français</w:t>
      </w:r>
    </w:p>
    <w:p>
      <w:r>
        <w:t xml:space="preserve">The Competition Authority,  </w:t>
        <w:br/>
        <w:t xml:space="preserve">Having regard to the complete notification file submitted to the mergers department on October 3, 2023,  </w:t>
        <w:br/>
        <w:t xml:space="preserve">concerning the creation of a full-function joint venture, the company Toits temporaires urbains (hereinafter "TTU"), by the Caisse des dépôts et consignations (hereinafter "CDC") and the Société nationale des chemins de fer français (hereinafter "SNCF"), formalized by the decisions of the National Commitments Committee of the CDC's Investment Directorate on December 16, 2022, and the SNCF Group Commitments Committee on March 3, 2023;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creation by the CDC and the SNCF of the full-function joint venture TTU, which will offer modular construction equipment rental services. The operation constitutes a concentration operation within the meaning of Article L. 430-1 of the Commercial Code. Given the turnover achieved by the companies concerned, the thresholds set out in Article 1, paragraph 2, a) and b) of Council Regulation (EC) No. 139/2004 of January 20, 2004, are met. Nevertheless, since SNCF and CDC generate more than two-thirds of their European turnover in France, the operation does not fall under the jurisdiction of the European Union. On the other hand, the retail trade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23-207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