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https://www.autoritedelaconcurrence.fr/fr/decision-de-controle-des-concentrations/relative-la-creation-dune-entreprise-commune-de-plein-32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24-DCC-289 of December 19, 2024  </w:t>
        <w:br/>
        <w:t xml:space="preserve">regarding the creation of a full-function joint venture  </w:t>
        <w:br/>
        <w:t xml:space="preserve">named Gerlandis by the Carrefour group and the Lafond family  </w:t>
        <w:br/>
        <w:t xml:space="preserve">The Competition Authority,  </w:t>
        <w:br/>
        <w:t xml:space="preserve">Having regard to the complete notification file sent to the mergers department on December 4, 2024,  </w:t>
        <w:br/>
        <w:t xml:space="preserve">concerning the creation of a full-function joint venture named Gerlandis by the  </w:t>
        <w:br/>
        <w:t xml:space="preserve">Carrefour group and the Lafond family formalized by a framework agreement dated November 21, 2024,  </w:t>
        <w:br/>
        <w:t xml:space="preserve">and a promise of assignment of lease rights under a suspensive condition signed  </w:t>
        <w:br/>
        <w:t xml:space="preserve">on November 22 and 25,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of a joint company that will be named  </w:t>
        <w:br/>
        <w:t xml:space="preserve">Gerlandis and whose capital will be held 73.98% by the company JR DIS, controlled  </w:t>
        <w:br/>
        <w:t xml:space="preserve">by the Lafond family, 25.99% by the company Selima, and 0.03% by the company Profidis, these  </w:t>
        <w:br/>
        <w:t xml:space="preserve">last two companies being controlled by the Carrefour group. The parties have committed to  </w:t>
        <w:br/>
        <w:t xml:space="preserve">create, through the company Gerlandis, a retail business of the supermarket type located in Lyon (69),  </w:t>
        <w:br/>
        <w:t xml:space="preserve">at 131 and 133 rue de Gerland. It appears from the elements communicated by the notifying parties  </w:t>
        <w:br/>
        <w:t xml:space="preserve">that the company Gerlandis will be a full-function joint venture jointly controlled  </w:t>
        <w:br/>
        <w:t xml:space="preserve">by the Carrefour group and the Lafond family. Given the turnover achieved by  </w:t>
        <w:br/>
        <w:t xml:space="preserve">the companies concerned, the operation does not fall under the jurisdiction of the European Union.  </w:t>
        <w:br/>
        <w:t xml:space="preserve">On the other hand,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24-313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