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https://www.autoritedelaconcurrence.fr/fr/decision-de-controle-des-concentrations/relative-la-creation-dune-entreprise-commune-de-plein-34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25-DCC-208 of September 5, 2025  </w:t>
        <w:br/>
        <w:t xml:space="preserve">regarding the creation of a full-function joint venture by  </w:t>
        <w:br/>
        <w:t xml:space="preserve">the Altarea group and the company Semmaris  </w:t>
        <w:br/>
        <w:t xml:space="preserve">The Competition Authority,  </w:t>
        <w:br/>
        <w:t xml:space="preserve">Having regard to the complete notification file submitted to the mergers department on August 7, 2025,  </w:t>
        <w:br/>
        <w:t xml:space="preserve">concerning the creation of a full-function joint venture by the Altarea group and the  </w:t>
        <w:br/>
        <w:t xml:space="preserve">company Semmaris, formalized by a shareholders' agreement signed on July 22,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company Alta Penthièvre, a subsidiary of the Altarea group, and the company Semmaris, of a full-function joint venture named SAS CIG Paris Rungis, which will be active in the field of real estate services in Rungis. This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25-195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