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https://www.autoritedelaconcurrence.fr/fr/decision-de-controle-des-concentrations/relative-la-creation-dune-entreprise-commune-de-plein-4</w:t>
      </w:r>
    </w:p>
    <w:p>
      <w:r>
        <w:t>Pages translated : 9</w:t>
      </w:r>
    </w:p>
    <w:p/>
    <w:p>
      <w:r>
        <w:rPr>
          <w:b/>
        </w:rPr>
        <w:t>[Pages 1–3]</w:t>
      </w:r>
    </w:p>
    <w:p>
      <w:r>
        <w:t xml:space="preserve">FRENCH REPUBLIC  </w:t>
        <w:br/>
        <w:t xml:space="preserve">Decision No. 11-DCC-207 of December 22, 2011  </w:t>
        <w:br/>
        <w:t xml:space="preserve">regarding the creation of a full-function joint venture by  </w:t>
        <w:br/>
        <w:t>the companies Nexity and UFG-LFP</w:t>
      </w:r>
    </w:p>
    <w:p>
      <w:r>
        <w:t xml:space="preserve">The Competition Authority,  </w:t>
        <w:br/>
        <w:t xml:space="preserve">Having regard to the notification file sent to the merger service on October 13, 2011, and declared complete on December 6, 2011, regarding the creation of a joint venture by the companies Nexity and UFG-LFP, formalized by a memorandum of understanding concluded on September 21, 2011;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Adopts the following decision:</w:t>
      </w:r>
    </w:p>
    <w:p>
      <w:r>
        <w:t xml:space="preserve">I. The companies concerned and the operation  </w:t>
        <w:br/>
        <w:t>1. Nexity is a public limited company at the head of a group of companies active in the real estate services sector. The Nexity group primarily operates in the real estate development sector aimed at individuals and professionals. It also works alongside local authorities in the realization of real estate projects, both tertiary and residential. Finally, it operates in the real estate services sector (property management and intermediation in transactions) carried out by its subsidiaries as well as through two networks, Century 21 and Guy Hoquet. These services are provided to both individuals and professionals.</w:t>
      </w:r>
    </w:p>
    <w:p>
      <w:r>
        <w:t xml:space="preserve">2. The Nexity group is controlled, through the company CE Holding Promotion, by the Banque Populaire Caisse d’Épargne group (hereinafter "BPCE"), which engages in all businesses of commercial banking and investment banking (via Natixis) and insurance.  </w:t>
        <w:br/>
        <w:t>1 Decision No. 09-DCC-16 of June 22, 2009, regarding the merger between the Caisse d’Épargne and Banque Populaire groups.</w:t>
      </w:r>
    </w:p>
    <w:p>
      <w:r>
        <w:t>3. The company Colliers UFG–LFP is ultimately controlled by the Caisse Fédérative du Crédit Mutuel Nord Europe (hereinafter "CFCMNE"), a cooperative company with variable capital, via the company UFG–LFP. The Crédit Mutuel Nord Europe group controls companies active in the financial services, banking, and insurance sectors, as well as, more incidentally, in the real estate services sector. UFG–LFP is active in the real estate asset management sector and notably controls the company Colliers UFG-PM, which is engaged in the intermediation and rental, technical, and administrative management of real estate properties for professional use.</w:t>
      </w:r>
    </w:p>
    <w:p>
      <w:r>
        <w:t>4. The notified operation consists of the creation of a public limited company owned […]% by Nexity and […]% by Colliers UFG–PM, to which they will transfer their real estate management and transaction activities. The governance of this joint company will be ensured [Confidential], Nexity and UFG–LFP will exercise joint control over the joint company. This company will be active in the real estate management and transaction sector and will combine the activities currently carried out by subsidiaries of Nexity (Nexity Saggel Property Management, Parcomie, Keops, and Nexity Saggel Building Management) and UFG-LFP (Colliers UFG–PM).</w:t>
      </w:r>
    </w:p>
    <w:p>
      <w:r>
        <w:t>5. Insofar as it results in the creation of a full-function joint venture, the notified operation constitutes a concentration operation within the meaning of Article L. 430-1 of the Commercial Code.</w:t>
      </w:r>
    </w:p>
    <w:p>
      <w:r>
        <w:t>6. The companies concerned have jointly achieved a consolidated turnover excluding taxes of more than 150 million euros in the last closed financial year (BPCE: 52.2 billion euros for the financial year ending December 31, 2010; CMNE: 757.9 million euros for the same financial year). Each of these companies has achieved, in France, a turnover exceeding 50 million euros (BPCE: 46.5 billion euros for the financial year ending December 31, 2010; CMNE: 674.3 million euros for the same financial year). Given these turnover figures, the operation has a community dimension, but the operation does not fall under community jurisdiction as each of the two groups generates more than two-thirds of its turnover in France. On the other hand,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the relevant markets  </w:t>
        <w:br/>
        <w:t>7. Nexity, UFG-LFP, and their parent companies, BPCE and CMNE, are simultaneously present in the real estate services sector aimed at businesses. Specifically, the joint venture will be active in the markets for intermediation in purchase/sale and rental transactions of real estate intended for businesses, as well as in the market for property management intended for professionals. Other entities controlled by the BPCE and CMNE companies operate in the market for property management intended for professionals. However, they occupy very marginal positions with market shares below [0-5]%. Therefore, only the parties to the concentration will be taken into account in the analysis of the effects of the operation on this market.</w:t>
      </w:r>
    </w:p>
    <w:p>
      <w:r>
        <w:t>8. On the other hand, the parent companies of the joint venture, BPCE and CMNE, are simultaneously present in the market for real estate asset management on behalf of third parties, a market in which the joint venture will not operate but which has a connection to its activities.</w:t>
      </w:r>
    </w:p>
    <w:p>
      <w:r>
        <w:t>9. Furthermore, BPCE and CMNE engage in activities in the banking sector. However, CMNE has little banking activity aimed at businesses. Moreover, CMNE is not very active in the Île-de-France region, where the joint venture will primarily operate. BPCE, on the other hand, is active in several markets in the banking sector that have a connection to the real estate services markets concerned by this operation, namely the markets for real estate leasing as well as real estate credit to businesses.</w:t>
      </w:r>
    </w:p>
    <w:p>
      <w:r>
        <w:t xml:space="preserve">10. Consequently, the effects of the operation will be examined in the markets of the real estate and banking services sectors outlined below.  </w:t>
        <w:br/>
        <w:t xml:space="preserve">A. THE REAL ESTATE SERVICES MARKETS  </w:t>
        <w:br/>
        <w:t xml:space="preserve">1. THE SERVICE MARKETS  </w:t>
        <w:br/>
        <w:t>11. National and European decision-making practice has considered, while leaving the question open, various segmentations in the real estate services sector according to (i) the recipients of the services (individuals or businesses), (ii) the pricing method (free residential real estate and social or intermediate housing), (iii) the type of activity carried out in the premises (offices, commercial premises, and other activity premises), and (iv) the nature of the services or goods offered.</w:t>
      </w:r>
    </w:p>
    <w:p>
      <w:r>
        <w:t xml:space="preserve">12. Regarding this last segmentation, according to the nature of the services or goods offered, decision-making practice has considered distinguishing:  </w:t>
        <w:br/>
        <w:t xml:space="preserve">- real estate development, which includes construction and sale activities of real estate;  </w:t>
        <w:br/>
        <w:t xml:space="preserve">- management of real estate assets for one's own account;  </w:t>
        <w:br/>
        <w:t xml:space="preserve">- management of real estate assets on behalf of third parties;  </w:t>
        <w:br/>
        <w:t>- property management, which covers the activities of managing properties on behalf of owners and can be segmented between rental management and co-ownership management;</w:t>
      </w:r>
    </w:p>
    <w:p>
      <w:r>
        <w:rPr>
          <w:b/>
        </w:rPr>
        <w:t>[Pages 4–6]</w:t>
      </w:r>
    </w:p>
    <w:p>
      <w:r>
        <w:t>- real estate appraisal;</w:t>
        <w:br/>
        <w:t>- real estate consulting;</w:t>
        <w:br/>
        <w:t>- intermediation in real estate transactions for which intermediation in purchase/sale operations is distinguished from intermediation in rental operations.</w:t>
      </w:r>
    </w:p>
    <w:p>
      <w:r>
        <w:t>13. In this case, the joint venture will combine the parties' activities in the market of intermediation in purchase/sale operations of real estate intended for professionals and in the market of property management intended for professionals, particularly in the segments of office, retail, and warehouse property management.</w:t>
      </w:r>
    </w:p>
    <w:p>
      <w:r>
        <w:t>14. The parent companies will also be simultaneously present in the market of real estate asset management on behalf of third parties.</w:t>
      </w:r>
    </w:p>
    <w:p>
      <w:r>
        <w:t>15. In any event, the precise definition of the markets may be left open insofar as, regardless of the definition adopted, the conclusions of the competitive analysis will remain unchanged.</w:t>
      </w:r>
    </w:p>
    <w:p>
      <w:r>
        <w:t>2. GEOGRAPHICAL MARKETS</w:t>
      </w:r>
    </w:p>
    <w:p>
      <w:r>
        <w:t>16. The French and community competition authorities have considered that most real estate service markets are of a local dimension, while leaving the question open. However, the markets for real estate services intended for large investors have been considered to be of a national dimension while also leaving the question open. Similarly, the market for real estate asset management on behalf of third parties, in which the parent companies will be active, has been considered to be of a national dimension.</w:t>
      </w:r>
    </w:p>
    <w:p>
      <w:r>
        <w:t>17. At the local level, the joint venture will operate in the Île-de-France region. In this regard, the Minister of Economy has had the opportunity to observe that "the Paris region has particular properties of continuity of urban areas. Indeed, there is a vast, highly urbanized, and homogeneous area covering most of Île-de-France, served by a comprehensive transport network; residents are always able to arbitrate between different parts of the region. This substitutability leads to a convergence at the price level. Therefore, the regional level is the most appropriate for competitive analysis." For other regions, the competition authorities have conducted their competitive analyses at the regional or sub-regional level.</w:t>
      </w:r>
    </w:p>
    <w:p>
      <w:r>
        <w:t>18. With regard specifically to the market for rental and technical management, the notifying parties indicated that their clients are institutional investors, both French and foreign, who entrust the management of their real estate assets only to operators capable of providing their services throughout the territory (real estate companies, insurance companies, banks, pension funds, public and semi-public enterprises, unlisted international investment funds, SCPI, and OPCI). The parties to the operation and their competitors therefore operate at the national level. The effects of the present operation will thus be examined at the national level, and the question of the exact delimitation will be left open.</w:t>
      </w:r>
    </w:p>
    <w:p>
      <w:r>
        <w:t>19. Consequently, the effects of the operation will be analyzed in terms of horizontal effects on the markets of intermediation in purchase/sale and rental transactions of real estate intended for professionals at both the national and regional levels, as well as on the national market for rental management of commercial real estate. The effects of the operation in terms of the risks of coordination among the parent companies will be examined on the national market for real estate asset management on behalf of third parties.</w:t>
      </w:r>
    </w:p>
    <w:p>
      <w:r>
        <w:t>B. MARKETS FOR BANKING SERVICES</w:t>
      </w:r>
    </w:p>
    <w:p>
      <w:r>
        <w:t>20. National and community decision-making practice distinguishes three categories of services:</w:t>
        <w:br/>
        <w:t>- banking services intended for individuals and households (retail banking);</w:t>
        <w:br/>
        <w:t>- banking services intended for businesses (commercial banking);</w:t>
        <w:br/>
        <w:t>- operations on financial markets (investment and financing banking).</w:t>
      </w:r>
    </w:p>
    <w:p>
      <w:r>
        <w:t>21. In this case, the present operation concerns banking services for businesses, in relation to the activities carried out by the parent companies of the joint venture.</w:t>
      </w:r>
    </w:p>
    <w:p>
      <w:r>
        <w:t>22. In accordance with decision-making practice, the notifying parties have examined the effects of the creation of the joint venture on the markets for real estate leasing and real estate credit for businesses.</w:t>
      </w:r>
    </w:p>
    <w:p>
      <w:r>
        <w:t>23. The geographical dimension of commercial banking markets has been considered at both the national and local levels. However, in this case, in the absence of overlapping activities between BPCE and CMNE in the field of real estate credit for businesses, the question may be left open, with the conclusions of the competitive analysis remaining unchanged.</w:t>
      </w:r>
    </w:p>
    <w:p>
      <w:r>
        <w:t>III. Competitive Analysis</w:t>
        <w:br/>
        <w:t>A. ANALYSIS OF HORIZONTAL EFFECTS</w:t>
        <w:br/>
        <w:t>1. ANALYSIS OF HORIZONTAL EFFECTS ON THE MARKET FOR INTERMEDIATION IN PURCHASE/SALE TRANSACTIONS OF COMMERCIAL REAL ESTATE</w:t>
      </w:r>
    </w:p>
    <w:p>
      <w:r>
        <w:t>24. The notifying parties estimated the national market for intermediation in purchase/sale transactions of commercial real estate in 2010 at 1.8 million m². With approximately […] m², the new entity will have a market share of [0-5]%.</w:t>
      </w:r>
    </w:p>
    <w:p>
      <w:r>
        <w:t>25. In Île-de-France, the notifying parties estimated the size of the market for intermediation in purchase/sale transactions of commercial real estate in 2010 at approximately 800,000 m². The subsidiaries active in this sector for Nexity (Keops) and UFG-LFP (Colliers UFG-PM) achieved sales of […] m² and […] m² respectively in Île-de-France, representing less than [10-20]% and [0-5]% of respective market shares. The joint venture will therefore represent an estimated market share in volume of [10-20]%.</w:t>
      </w:r>
    </w:p>
    <w:p>
      <w:r>
        <w:t>26. Furthermore, the joint venture will continue to face competition from significant operators, such as BNP, CBRE, or Jones Lang Lasalle and Cushman &amp; Wakefield.</w:t>
      </w:r>
    </w:p>
    <w:p>
      <w:r>
        <w:t>27. Consequently, the operation is not likely to harm competition in the market for intermediation in purchase/sale transactions of commercial real estate.</w:t>
      </w:r>
    </w:p>
    <w:p>
      <w:r>
        <w:t>2. ANALYSIS OF HORIZONTAL EFFECTS ON THE MARKET FOR INTERMEDIATION IN RENTAL TRANSACTIONS OF COMMERCIAL REAL ESTATE</w:t>
      </w:r>
    </w:p>
    <w:p>
      <w:r>
        <w:t>28. The notifying parties estimated the national market for intermediation in rental transactions of commercial real estate in 2010 at 7.2 million m². With nearly […] m², the new entity will have a market share of [5-10]%.</w:t>
      </w:r>
    </w:p>
    <w:p>
      <w:r>
        <w:t>29. In the Île-de-France region, the notifying parties estimated the size of the market for intermediation in rental transactions of commercial real estate in 2010 at approximately 3.2 million m². Keops and Colliers-UFG PM achieved rentals of […] m² and […] m² of properties in the region, representing a combined market share in volume estimated at [10-20]%.</w:t>
      </w:r>
    </w:p>
    <w:p>
      <w:r>
        <w:t>30. Furthermore, the joint venture will continue to face competition from significant operators, such as BNP, CBRE, or Jones Lang Lasalle and Cushman &amp; Wakefield.</w:t>
      </w:r>
    </w:p>
    <w:p>
      <w:r>
        <w:t>31. Consequently, the operation is not likely to harm competition in the market for intermediation in rental transactions of commercial real estate.</w:t>
      </w:r>
    </w:p>
    <w:p>
      <w:r>
        <w:t>3. ANALYSIS OF HORIZONTAL EFFECTS ON THE MARKET FOR RENTAL AND TECHNICAL MANAGEMENT OF REAL ESTATE INTENDED FOR PROFESSIONALS</w:t>
      </w:r>
    </w:p>
    <w:p>
      <w:r>
        <w:t>32. The notifying parties estimated the commercial real estate stock in France at 162 million m² of offices, 69 million m² of retail space, and 39 million m² of other premises, mainly warehouses, totaling 270 million m² of commercial real estate.</w:t>
      </w:r>
    </w:p>
    <w:p>
      <w:r>
        <w:rPr>
          <w:b/>
        </w:rPr>
        <w:t>[Pages 7–9]</w:t>
      </w:r>
    </w:p>
    <w:p>
      <w:r>
        <w:t>33. According to the parties, the rental and technical management of commercial properties represents approximately 92 million m² in 2010. With just over […] million m², the new entity will therefore have a market share of [5-10]%.</w:t>
      </w:r>
    </w:p>
    <w:p>
      <w:r>
        <w:t>34. Distinguishing by type of property, the new entity will have the following market shares:</w:t>
        <w:br/>
        <w:t>Offices Retail Warehouses</w:t>
        <w:br/>
        <w:t>Nexity [5-10] % [0-5] % [0-5] %</w:t>
        <w:br/>
        <w:t>Colliers UFG-LFP [0-5] % [0-5] % [5-10] %</w:t>
        <w:br/>
        <w:t>Total [10-20] % [0-5] % [10-20] %</w:t>
      </w:r>
    </w:p>
    <w:p>
      <w:r>
        <w:t>35. Furthermore, the market for rental and technical management of commercial properties is characterized by the presence of a relatively large number of operators, such as Adyal ([10-20] %), BNP Real Estate PM ([10-20] %), Foncia ([5-10] %), Icade PM ([5-10] %), Yxime ([0-5] %), Septime ([0-5] %), and other smaller competitors representing just over 30% of the market.</w:t>
      </w:r>
    </w:p>
    <w:p>
      <w:r>
        <w:t>36. Consequently, the operation is not likely to harm competition in the market for rental management of properties intended for professionals.</w:t>
      </w:r>
    </w:p>
    <w:p>
      <w:r>
        <w:t>B. ANALYSIS OF THE RISK OF COORDINATION OF PARENT COMPANIES IN THE MARKET FOR REAL ESTATE ASSET MANAGEMENT ON BEHALF OF THIRD PARTIES</w:t>
      </w:r>
    </w:p>
    <w:p>
      <w:r>
        <w:t>37. The creation of a joint venture is also likely to encourage the parent companies to coordinate their activities in the markets where they remain simultaneously present. In this case, BPCE and UFG will both be active in the market for real estate asset management on behalf of third parties.</w:t>
      </w:r>
    </w:p>
    <w:p>
      <w:r>
        <w:t>38. In accordance with the decision-making practice of the European Commission, adopted by national competition authorities, such a risk is likely when the following three cumulative conditions are met: the risk of coordination must have a direct causal link to the creation of the joint venture, the coordination must be sufficiently plausible, and the coordination must have a significant effect on competition.</w:t>
      </w:r>
    </w:p>
    <w:p>
      <w:r>
        <w:t>39. The Competition Council considered, in opinion no. 07-A-09, that such coordination can be more evidently contemplated if the parent companies and the joint subsidiary remain present in the same markets, but it cannot be excluded a priori when the parent companies are active in a market distinct from that of their joint subsidiary, but which has connections with it.</w:t>
      </w:r>
    </w:p>
    <w:p>
      <w:r>
        <w:t>40. In this case, the management of real estate assets on behalf of third parties in which the parent companies of the joint venture will be involved consists of managing financial investments, primarily Real Estate Investment Companies ("SCPI") and Collective Investment Organizations in Real Estate ("OPCI"). This is carried out by management companies specifically authorized for this purpose, which invest in and manage a rental real estate portfolio. In this case, the notifying parties invest in professional premises such as offices, retail spaces, and particularly warehouses as part of these activities. These activities therefore present at least a connection with the intermediation of purchase/sale and rental of commercial properties and with rental management. The risks of coordination of the behavior of the parent companies of the joint venture must therefore be analyzed.</w:t>
      </w:r>
    </w:p>
    <w:p>
      <w:r>
        <w:t>41. BPCE and CMNE/UFG hold a significant position in the market for real estate asset management on behalf of third parties. The parties estimate BPCE's market share at [10-20] % and that of CMNE/UFG at [10-20] %, resulting in a combined position of [30-40] %.</w:t>
      </w:r>
    </w:p>
    <w:p>
      <w:r>
        <w:t>42. In this market, the parent companies will continue to face competition from many significant players, such as the Crédit Agricole Group and BNPP, each holding a market share of approximately [10-20] %, as well as specialists Viveris ([5-10] %) and Sofidy ([5-10] %), along with many other operators. The maintenance of significant competitive pressure on the parent companies will thus deprive any potential coordination of the behaviors of the parent companies of its effects.</w:t>
      </w:r>
    </w:p>
    <w:p>
      <w:r>
        <w:t>43. Furthermore, the differentiation of participants in this sector is made in terms of distribution network and performance of investment products. In this regard, the creation of the joint venture is not likely to confer any particular competitive advantage to its parent companies.</w:t>
      </w:r>
    </w:p>
    <w:p>
      <w:r>
        <w:t>44. Moreover, the activities entrusted to the joint venture remain modest as it will hold approximately [5-10] % of market share at the national level and about [10-20] % at the Île-de-France level in each of the markets for purchase/sale, rental, and rental management of properties.</w:t>
      </w:r>
    </w:p>
    <w:p>
      <w:r>
        <w:t>45. Consequently, the operation does not present a risk of coordination by the parent companies in the market for real estate asset management on behalf of third parties.</w:t>
      </w:r>
    </w:p>
    <w:p>
      <w:r>
        <w:t>C. ANALYSIS OF CONGLOMERATE EFFECTS</w:t>
      </w:r>
    </w:p>
    <w:p>
      <w:r>
        <w:t>46. The activities of the joint venture in the field of intermediation in purchase/sale transactions of commercial properties present a connection with the markets for real estate leasing and corporate real estate credit, as these may be seeking a loan to finance their real estate investment.</w:t>
      </w:r>
    </w:p>
    <w:p>
      <w:r>
        <w:t>47. In the sector of banking services for businesses, BPCE holds a market share of [20-30] % in the national market for real estate leasing and [10-20] % in the national market for corporate real estate credit. It is also competing in these areas with the Crédit Agricole/LCL groups, BNP Paribas, Société Générale, and Crédit Mutuel/CIC (independent network of CMNE). BPCE is therefore not an essential player in the market.</w:t>
      </w:r>
    </w:p>
    <w:p>
      <w:r>
        <w:t>48. Furthermore, the analysis of the horizontal effects previously outlined shows that the joint venture will have a market share of [0-5] % at the national level and [10-20] % in Île-de-France in the market for intermediation in purchase/sale transactions intended for professionals.</w:t>
      </w:r>
    </w:p>
    <w:p>
      <w:r>
        <w:t>49. Given the above, the operation is not likely to harm competition through conglomerate effects between the market for intermediation in purchase/sale transactions of commercial properties and the markets for corporate credit.</w:t>
      </w:r>
    </w:p>
    <w:p>
      <w:r>
        <w:t>DECIDES</w:t>
      </w:r>
    </w:p>
    <w:p>
      <w:r>
        <w:t>Sole Article: The operation notified under number 11-0114 is authorized.</w:t>
      </w:r>
    </w:p>
    <w:p>
      <w: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