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https://www.autoritedelaconcurrence.fr/fr/decision-de-controle-des-concentrations/relative-la-creation-dune-entreprise-commune-de-plein-40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25-DCC-240 of October 17, 2025  </w:t>
        <w:br/>
        <w:t xml:space="preserve">regarding the creation of a full-function joint venture  </w:t>
        <w:br/>
        <w:t xml:space="preserve">named Bear Cousance by the companies Nival and ITM Entreprises  </w:t>
        <w:br/>
        <w:t xml:space="preserve">The Competition Authority,  </w:t>
        <w:br/>
        <w:t xml:space="preserve">Having regard to the complete notification file submitted to the mergers department on October 2, 2025,  </w:t>
        <w:br/>
        <w:t xml:space="preserve">concerning the creation of a full-function joint venture named Bear Cousance by  </w:t>
        <w:br/>
        <w:t xml:space="preserve">the companies Nival and ITM Entreprises, formalized by a firm and irrevocable offer letter  </w:t>
        <w:br/>
        <w:t xml:space="preserve">for the acquisition of a business signed on May 16, 2025, and a unilateral purchase promise  </w:t>
        <w:br/>
        <w:t xml:space="preserve">signed on June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Nival and ITM Entreprises, of the  </w:t>
        <w:br/>
        <w:t xml:space="preserve">company Bear Cousance whose purpose is the acquisition and operation of a retail business  </w:t>
        <w:br/>
        <w:t xml:space="preserve">primarily focused on food with a sales area of 872 m², currently under the Colruyt brand, under the  </w:t>
        <w:br/>
        <w:t xml:space="preserve">Intermarché brand in the city of Cousance (39). This operation constitutes a concentration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control thresholds  </w:t>
        <w:br/>
        <w:t xml:space="preserve">mentioned in II of Article L. 430-2 of the Commercial Code are exceeded. This operation is therefore subject  </w:t>
        <w:br/>
        <w:t xml:space="preserve">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25-257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