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https://www.autoritedelaconcurrence.fr/fr/decision-de-controle-des-concentrations/relative-la-creation-dune-entreprise-commune-de-plein-5</w:t>
      </w:r>
    </w:p>
    <w:p>
      <w:r>
        <w:t>Pages translated : 7</w:t>
      </w:r>
    </w:p>
    <w:p/>
    <w:p>
      <w:r>
        <w:rPr>
          <w:b/>
        </w:rPr>
        <w:t>[Pages 1–3]</w:t>
      </w:r>
    </w:p>
    <w:p>
      <w:r>
        <w:t>FRENCH REPUBLIC</w:t>
        <w:br/>
        <w:t>Decision No. 12-DCC-73 of May 30, 2012</w:t>
        <w:br/>
        <w:t>regarding the creation of a full-function joint venture</w:t>
        <w:br/>
        <w:t>by Retail Leader Price Investissement (Casino Group)</w:t>
        <w:br/>
        <w:t>and Messrs. Planes and Vernat</w:t>
        <w:br/>
        <w:t>The Competition Authority,</w:t>
        <w:br/>
        <w:t>Having regard to the notification file submitted in full to the merger service on April 20, 2012,</w:t>
        <w:br/>
        <w:t>regarding the creation by Retail Leader Price Investissement (Casino Group) and</w:t>
        <w:br/>
        <w:t>Messrs. Planes and Vernat of a full-function joint venture whose main purpose</w:t>
        <w:br/>
        <w:t>will be to operate 16 food-oriented sales outlets, formalized by a memorandum</w:t>
        <w:br/>
        <w:t>of understanding concluded between the parties on January 10, 2012;</w:t>
        <w:br/>
        <w:t>Having regard to Book IV of the Commercial Code relating to price and competition freedom, and</w:t>
        <w:br/>
        <w:t>notably its Articles L. 430-1 to L. 430-7;</w:t>
        <w:br/>
        <w:t>Having regard to the supplementary elements provided by the parties during the investigation;</w:t>
        <w:br/>
        <w:t>Adopts the following decision:</w:t>
        <w:br/>
        <w:t>I. The concerned companies and the operation</w:t>
        <w:br/>
        <w:t>1. Retail Leader Price Investissement (hereinafter "RLPI") is a subsidiary of the Casino Guichard Perrachon group whose main purpose is to acquire stakes in companies operating stores under the Leader Price brand. The Casino group, the third largest player in the French food distribution sector, manages a network of over 10,000 stores (hypermarkets, supermarkets, convenience stores, discount stores, etc.) under the Casino, Franprix, Spar, Vival, Naturalia, and Leader Price brands. The Casino group also holds 50% of the Monoprix group. Furthermore, it is present in the online distribution sector of non-food products with the Cdiscount brand. The Casino group is controlled directly and indirectly by the Euris group, which is itself controlled by Mr. Jean-Charles Naouri.</w:t>
      </w:r>
    </w:p>
    <w:p>
      <w:r>
        <w:t>2. On the eve of the operation, Messrs. Planes and Vernat manage 17 operating companies whose purpose is to operate sixteen retail businesses distributing mass-consumption food products, including fifteen sales outlets under the Leader Price brand and one sales outlet under the Rouge et Vert brand. Messrs. Planes and Vernat jointly hold, directly or indirectly, [...]% of the capital and voting rights of four of the target companies. They hold [...]% of the capital and voting rights of the other target companies, with the remaining capital and voting rights being held by RLPI, which thereby exercises joint control over these companies with Messrs. Planes and Vernat.</w:t>
      </w:r>
    </w:p>
    <w:p>
      <w:r>
        <w:t>3. The notified operation, formalized by a memorandum of understanding concluded between RLPI and Messrs. Planes and Vernat on January 10, 2012, consists of the creation by RLPI and Messrs. Planes and Vernat of a full-function joint venture whose main purpose will be to operate the 16 food-oriented sales outlets concerned.</w:t>
      </w:r>
    </w:p>
    <w:p>
      <w:r>
        <w:t>4. Messrs. Planes and Vernat will create, prior to the completion date of the operation, the joint venture which will be a simplified joint-stock company. In the context of the creation of this joint venture, RLPI on the one hand, and Messrs. Planes and Vernat on the other hand, will contribute to the joint company the stakes they currently hold, respectively, directly and indirectly, in the 17 concerned operating companies. The capital and voting rights of the joint venture will be distributed as follows: [...]% for DIGECO (holding of Mr. Planes), [...]% for MVD (holding of Mr. Vernat) and [...]% for RLPI. RLPI, for its part, will contribute the stakes it holds in 13 of the 17 concerned companies.</w:t>
      </w:r>
    </w:p>
    <w:p>
      <w:r>
        <w:t>5. Mr. Planes will be the president of the joint venture and Mr. Vernat will be the general director. Furthermore, in accordance with the draft statutes of the joint venture, Messrs. Planes and Vernat will have 2 members on the supervisory committee which will consist of three members, the third being appointed by RLPI. They will therefore be able to adopt together, without needing to obtain prior approval from RLPI, several strategic decisions, including the adoption of development plans and annual investment, financing, and operating budgets, any commitment of the company or one of its subsidiaries.</w:t>
      </w:r>
    </w:p>
    <w:p>
      <w:r>
        <w:t>6. RLPI will have, in accordance with the statutes of the joint venture, veto rights over decisions such as the acquisition or subscription by the joint venture of shares in any company, the establishment of branches or subsidiaries, as well as the acquisition of any business or lease rights, provided that this acquisition, subscription, or establishment is at a price exceeding [...] million euros concerning a store under the Leader Price brand or is at price conditions substantially different from those of the local market. RLPI will also benefit from a right of first refusal in the event of the joint venture selling its businesses as well as in the event of it selling the shares of its subsidiaries. Furthermore, RLPI will have the ability to have audits of a legal, technical, accounting, or financial nature of the joint venture and its subsidiaries conducted by advisors of its choice.</w:t>
      </w:r>
    </w:p>
    <w:p>
      <w:r>
        <w:t>7. Furthermore, several decisions, including the modification of the statutes of the company, and thus of the brand under which the sales areas of the joint venture will be operated, must be taken by a majority of 75% of the votes of the partners, each of the three partners consequently having a veto right over these decisions.</w:t>
      </w:r>
    </w:p>
    <w:p>
      <w:r>
        <w:t>8. Given these elements, the joint venture will be jointly controlled by Messrs. Planes and Vernat, as well as by RLPI. If, prior to the operation, 13 of the 17 companies were already subject to the joint control of the parties, the operation entails a joint control of RLPI over the assets of the other four concerned companies, namely HD LEAD Villefranche de Rouergue SARL, RV Narbonne SAS, Revel Discount SAS, and Sudis SAS. Furthermore, the joint venture will benefit from all the structural elements necessary for its autonomous and sustainable operation (human resources, budget, commercial responsibility), and will therefore indeed be a full-function joint venture.</w:t>
      </w:r>
    </w:p>
    <w:p>
      <w:r>
        <w:t>9. Insofar as it results in the creation of a full-function joint venture jointly controlled by RLPI and Messrs. Planes and Vernat, the notified operation is indeed a concentration within the meaning of Article L. 430-1 of the Commercial Code.</w:t>
      </w:r>
    </w:p>
    <w:p>
      <w:r>
        <w:t>10. The concerned companies together achieve a total worldwide turnover of over 150 million euros (Casino Group: 29 billion euros for the fiscal year ending December 31, 2010; Planes Group: [...] million euros; Vernat Group: [...] million euros for the same fiscal year). At least two of these companies operate a retail store and achieve a turnover in France exceeding 15 million euros (Casino Group: 18 billion euros for the fiscal year ending December 31, 2010; Planes Group: [...] million euros).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rPr>
          <w:b/>
        </w:rPr>
        <w:t>[Pages 4–6]</w:t>
      </w:r>
    </w:p>
    <w:p>
      <w:r>
        <w:t>II. Delimitation of Relevant Markets</w:t>
        <w:br/>
        <w:t>11. According to the consistent practice of national and community competition authorities8, two categories of markets can be delineated in the predominantly food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w:t>
        <w:br/>
        <w:t>A. DOWNSTREAM DISTRIBUTION MARKETS</w:t>
        <w:br/>
        <w:t>1. SERVICE MARKETS</w:t>
        <w:br/>
        <w:t>12. With regard to the retail sale of everyday consumer goods, competition authorities, both community and national9, have distinguished six categories of trade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w:t>
        <w:br/>
        <w:t>13. Hypermarkets are usually defined as food-dominant stores with a sales area equal to or greater than 2,500 m², and supermarkets as food-dominant stores with a sales area less than 2,500 m² and greater than 400 m².</w:t>
        <w:br/>
        <w:t>14. In this case, the 15 sales outlets operated under the Leader Price brand are discount supermarkets. The store under the Rouge et Vert brand is a 345 m² store that sells food products, including fresh products.</w:t>
        <w:br/>
        <w:t>15. However, while the overall service provided by hypermarkets (product diversity, depth of ranges, accessibility, low prices) is specific and not provided by any other form of trade, the size criterion that distinguishes supermarkets from hypermarkets regarding the extent of the assortment of ranges must be used cautiously in each case, as stores whose area is close to the threshold that distinguishes them (2,500 m²), whether below or above, may, in fact, be in direct competition. Therefore, the conditions under which the market actually operates are taken into account, notably the fact that, in a number of geographical configurations, a hypermarket may typically be used by certain consumers as a proximity store, substituting for a supermarket. Conversely, the reverse is almost never verified and is even less so as the size of the hypermarket in question is significant.</w:t>
        <w:br/>
        <w:t>8 See in particular the decisions of the Commission M.496 Intermarché/Spar of June 30, 1997, M.991 Promodès/Casino of October 30, 1997, M.1684 Carrefour/Promodès of January 25, 2000, and M.2115 Carrefour/GB of September 28, 2000, the ministerial order of July 5, 2000 in the Carrefour/Promodès operation, and the opinions of the Competition Council 97-A-14 of July 1, 1997, in the Carrefour/Cora case, 98-A-06 of May 5, 1998, in the Casino Franprix/Leader Price case, and 00-A-06 of May 3, 2000, in the Carrefour/Promodès case.</w:t>
        <w:br/>
        <w:t>9 See in particular the decisions of the Minister of Economy C.2007-172, Carrefour Plane Plamidis, of February 13, 2008, and C.2008-32, Amidis SAGC, of July 9, 2008, and the decisions of the Competition Authority 09-DCC-24 of July 23, 2009 Floritine/CSF, 12-DCC-15 of February 8, 2012 RLPI/DBMH, and 12-DCC-48 of April 6, 2012 Sofides/ITM.</w:t>
      </w:r>
    </w:p>
    <w:p>
      <w:r>
        <w:t>2. GEOGRAPHICAL DELIMITATION</w:t>
        <w:br/>
        <w:t>16. It follows from the decision-making practice10 that the conditions of competition are assessed over two different areas depending on the size of the stores:</w:t>
        <w:br/>
        <w:t>- a market where the demand from consumers meets the supply of supermarkets and equivalent forms of trade located within a 15-minute drive. These latter forms of trade may include, in addition to supermarkets, hypermarkets located near consumers and discount stores;</w:t>
        <w:br/>
        <w:t>- a second market where the demand from consumers in an area meets the supply of hypermarkets that they can access within a 30-minute drive and which are, from their perspective, substitutable for each other.</w:t>
        <w:br/>
        <w:t>17. However, the attractiveness of stores of the same format may vary depending on the density and quality of the commercial equipment in an area. The socio-economic characteristics of the area in question (population density, economic activity, geography, state of the road network) may also lead to a refinement, in the specific case, of the usual delimitations presented above.</w:t>
        <w:br/>
        <w:t>18. In this case, as the stores operated by the parties fall into the category of supermarkets, a catchment area of 15 minutes has been retained around the stores in question.</w:t>
        <w:br/>
        <w:t>B. UPSTREAM SUPPLY MARKETS</w:t>
        <w:br/>
        <w:t>19. With regard to supply markets, the European Commission has recognized the existence of markets of national dimension by major product groups, a delimitation followed by national authorities11.</w:t>
        <w:br/>
        <w:t>20. There is no need to challenge this delimitation in the context of the present operation.</w:t>
        <w:br/>
        <w:t>III. Competitive Analysis</w:t>
        <w:br/>
        <w:t>A. DOWNSTREAM MARKETS OF FOOD-DOMINANT RETAIL DISTRIBUTION</w:t>
        <w:br/>
        <w:t>21. As previously indicated, RLPI acquires, as a result of the operation, joint control over the companies HD LEAD Villefranche de Rouergue SARL (Leader Price of Villefranche de Rouergue, which is scheduled to open in May 2012), RV Narbonne SAS (Leader Price of Narbonne), Revel Discount SAS (Leader Price of Revel), and Sudis SAS (Leader Price of Amélie les Bains). The operation does not affect the areas of Amélie-les-Bains and Villefranche de Rouergue as no food-dominant sales area was operated under any of the Casino group's brands there.</w:t>
        <w:br/>
        <w:t>22. Consequently, two catchment areas are concerned by the examination under the concentration control, the areas of Narbonne and Revel.</w:t>
        <w:br/>
        <w:t>Narbonne (11)</w:t>
        <w:br/>
        <w:t>23. In the 15-minute catchment area defined around the supermarket in Narbonne (with a sales area of 950 m²), the Casino group owns, on the eve of the operation, four stores with a sales area of 6,334 m², representing a market share of [20-30] %. Following the operation, the market share of the parties in food sales area will therefore be [20-30] %. Numerous competing stores are present in this area, and the parties will notably face competition from the Carrefour group ([20-30] %), Lidl ([10-20] %), and Leclerc ([5-10] %).</w:t>
        <w:br/>
        <w:t>24. It follows from these elements that the operation is not likely to harm competition in the Narbonne area.</w:t>
        <w:br/>
        <w:t>Revel (31)</w:t>
        <w:br/>
        <w:t>25. In the market comprising supermarkets and equivalent forms of trade located within a 15-minute drive from the supermarket in Revel, the Casino group will gather after the operation the target store under the Leader Price brand (1,030 m² of sales area) and a Casino supermarket (2,000 m²).</w:t>
        <w:br/>
        <w:t>26. Casino will face competition in this area from an Intermarché hypermarket of 2,995 m² with 1,795 m² of sales area, a Lidl supermarket of 975 m², and an Aldi supermarket of 769 m². The market share of Casino in this area will therefore be [40-50] %, compared to [20-30] % for Intermarché, [10-20] % for Lidl, and [10-20] % for Aldi.</w:t>
        <w:br/>
        <w:t>27. It follows from these elements that the operation is not likely to harm competition in the Revel area.</w:t>
        <w:br/>
        <w:t>B. UPSTREAM SUPPLY MARKETS</w:t>
        <w:br/>
        <w:t>28. With regard to upstream supply markets, the operation is limited to 4 stores representing, in 2010, less than [0-5] % of the turnover generated by the Casino group in France under the Franprix/Leader-Price brand and less than [0-5] % of the national turnover generated by the entire food distribution activity of the group. The creation of this joint venture is therefore not likely to significantly strengthen the purchasing power of the Casino group, across all products as well as by major product groups. The strengthening is even more minor as, prior to the operation, the stores subject to the notified operation were already sourcing almost exclusively through the purchasing center Distribution Leader Price, a subsidiary of the Casino group.</w:t>
        <w:br/>
        <w:t>29. The operation is therefore not likely to strengthen the purchasing power of the Casino group in the upstream supply markets, regardless of the market segmentation retained.</w:t>
      </w:r>
    </w:p>
    <w:p>
      <w:r>
        <w:rPr>
          <w:b/>
        </w:rPr>
        <w:t>[Pages 7–7]</w:t>
      </w:r>
    </w:p>
    <w:p>
      <w:r>
        <w:t xml:space="preserve">DECIDES  </w:t>
        <w:br/>
        <w:t xml:space="preserve">Sole Article: The operation notified under number 12-045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