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https://www.autoritedelaconcurrence.fr/fr/decision-de-controle-des-concentrations/relative-la-creation-dune-entreprise-commune-de-plein-7</w:t>
      </w:r>
    </w:p>
    <w:p>
      <w:r>
        <w:t>Pages translated : 5</w:t>
      </w:r>
    </w:p>
    <w:p/>
    <w:p>
      <w:r>
        <w:rPr>
          <w:b/>
        </w:rPr>
        <w:t>[Pages 1–3]</w:t>
      </w:r>
    </w:p>
    <w:p>
      <w:r>
        <w:t>FRENCH REPUBLIC</w:t>
        <w:br/>
        <w:t>Decision No. 16-DCC-120 of July 28, 2016</w:t>
        <w:br/>
        <w:t>regarding the creation of a full-function joint venture between</w:t>
        <w:br/>
        <w:t>the companies DCNS and Piriou</w:t>
        <w:br/>
        <w:t>The Competition Authority,</w:t>
        <w:br/>
        <w:t>Having regard to the notification file submitted in full to the merger service on July 1, 2016,</w:t>
        <w:br/>
        <w:t>regarding the creation of a full-function joint venture between the companies DCNS SA and</w:t>
        <w:br/>
        <w:t>Piriou SAS, formalized by an industrial and commercial agreement dated March 21, 2016;</w:t>
        <w:br/>
        <w:t>Having regard to Book IV of the Commercial Code relating to the freedom of prices and competition, and</w:t>
        <w:br/>
        <w:t>in particular its Articles L. 430-1 to L. 430-7;</w:t>
        <w:br/>
        <w:t>Having regard to the supplementary elements submitted by the parties during the investigation;</w:t>
        <w:br/>
        <w:t>Adopts the following decision:</w:t>
        <w:br/>
        <w:t>I. The concerned companies and the operation</w:t>
        <w:br/>
        <w:t>1. The company DCNS SA (hereinafter, "DCNS") specializes in the sale of combat and logistical support vessels designed according to military standards, intended for French and foreign navies. DCNS's activities include the design, construction, and maintenance of submarines, surface ships, naval defense systems, and weapon systems. DCNS is also active in the energy sector, particularly in civil nuclear and renewable energies. DCNS is controlled by the Thales group, which is itself jointly controlled by the State and the Marcel Dassault group.</w:t>
        <w:br/>
        <w:t>2. The company Piriou SAS is the holding company of the Piriou group (hereinafter, "Piriou"). Piriou operates in the field of shipbuilding in the sectors of artisanal or industrial fishing, towing, offshore oil, public service vessels, and service ships. Piriou designs, builds, and maintains vessels designed according to civil standards intended for private clients or civil administrations for industrial or commercial use.</w:t>
        <w:br/>
        <w:t>3. In 2013, DCNS and Piriou created a joint venture, Kership, to pool their respective expertise and develop a shipbuilding activity for vessels under 95 meters that are lightly armed.</w:t>
        <w:br/>
        <w:t>4. The present operation, formalized by an industrial and commercial agreement dated March 21, 2016, aims to expand the scope of Kership and provide it with additional resources.</w:t>
      </w:r>
    </w:p>
    <w:p>
      <w:r>
        <w:t>5. Kership currently has limited resources that do not allow it to operate independently. Its commercial strength is limited. [Confidential]. Kership is also dependent on its parent companies for the construction of ships. [Confidential]. Finally, Kership's activities are exclusively aimed at the French market, thus limiting the potential outlets for the joint venture. Consequently, Kership does not constitute, in its current form, a full-function joint venture.</w:t>
        <w:br/>
        <w:t>6. Following the transaction, Kership will have access to both French and foreign markets. Additional resources, both financial and human, will be allocated to support its activity, [confidential]. Kership will also be required to turn to third-party suppliers, and no longer exclusively its parents, due to the specificities of export tenders that often require the use of local subcontractors. It will finally have its own industrial tool, as soon as it finalizes the ongoing acquisition of the Rohu shipyard from STX, which will thus complete the transformation of Kership and its emancipation from its parents1.</w:t>
        <w:br/>
        <w:t>7. Insofar as it results in the transformation of the joint venture Kership into a full-function company, the notified operation constitutes a concentration within the meaning of Article L. 430-1 of the Commercial Code.</w:t>
        <w:br/>
        <w:t>8. The concerned companies together achieve a total turnover excluding taxes on a global scale of more than 150 million euros (Marcel Dassault/Thales: […] euros for the fiscal year ending December 31, 2015; Piriou: […] euros for the fiscal year ending December 31, 2014). Each of these companies has achieved in France a turnover exceeding 50 million euros (Marcel Dassault/Thales: […] euros for the fiscal year ending December 31, 2015; Piriou: […] euros for the fiscal year ending December 31, 2014).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9. Kership and DCNS are simultaneously active in the military shipbuilding markets (A). Kership, Piriou, and DCNS also operate in the downstream market for the repair and maintenance of military vessels (B).</w:t>
        <w:br/>
        <w:t>A. THE MARKETS FOR MILITARY SHIPBUILDING</w:t>
        <w:br/>
        <w:t>1. PRODUCT MARKET</w:t>
        <w:br/>
        <w:t>10. The decision-making practice of the European Commission2 distinguishes several product markets according to the different categories of military vessels. It thus retains distinct markets for frigates, small warships (including corvettes, patrol boats, and other surface vessels), mine hunters, and aircraft carriers. For other types of vessels, the Commission also considered a distinction between amphibious vessels, auxiliary vessels, and survey vessels, while leaving the question open.</w:t>
        <w:br/>
        <w:t>11. In this case, Kership and DCNS are simultaneously active in the market for small warships.</w:t>
        <w:br/>
        <w:t>2. GEOGRAPHIC MARKET</w:t>
        <w:br/>
        <w:t>12. The decision-making practice of the Commission3 retains a national delimitation of military shipbuilding markets when there is a national industry capable of meeting the demand of its Ministry of Defense, and a "rest of the world" market comprising countries without a national producer.</w:t>
        <w:br/>
        <w:t>13. In this case, the national industry is able to meet the demand of the Ministry of Defense. The operation will therefore be analyzed at the national level.</w:t>
        <w:br/>
        <w:t>B. THE MARKETS FOR REPAIR AND MAINTENANCE OF MILITARY VESSELS</w:t>
        <w:br/>
        <w:t>1. PRODUCT MARKET</w:t>
        <w:br/>
        <w:t>14. The decision-making practice of the Commission4 distinguishes periodic maintenance of vessels, which corresponds to the routine maintenance of the vessel, from the heavier activity of refitting vessels, aimed at upgrading and extending the operational life of an old vessel. It has also considered a segmentation between repairs and refits of complex vessels and those of non-complex vessels.</w:t>
        <w:br/>
        <w:t>15. In this case, Kership, Piriou, and DCNS are simultaneously active in the market for periodic maintenance of non-complex vessels.</w:t>
        <w:br/>
        <w:t>2. GEOGRAPHIC MARKET</w:t>
        <w:br/>
        <w:t>16. As with shipbuilding, the Commission5 retains a national delimitation of military shipbuilding markets when there is a national industry capable of meeting the demand of its Ministry of Defense, and a "rest of the world" market comprising countries without a national producer.</w:t>
        <w:br/>
        <w:t>17. In this case, since the national industry is able to meet the demand of the Ministry of Defense, the operation will be analyzed at the national level.</w:t>
        <w:br/>
        <w:t>III. Competitive analysis</w:t>
        <w:br/>
        <w:t>18. The horizontal (A) and vertical (B) effects of the operation are analyzed successively below6.</w:t>
        <w:br/>
        <w:t>3 Id.</w:t>
        <w:br/>
        <w:t>4 Id.</w:t>
        <w:br/>
        <w:t>5 Id.</w:t>
        <w:br/>
        <w:t>6 The risk of conglomerate effects between Kership's activities and DCNS's military shipbuilding can be ruled out. The small warships offered by Kership are indeed subject to distinct tenders. It therefore does not seem possible under these conditions to engage in tied and/or bundled sales combining small warships with other warships.</w:t>
      </w:r>
    </w:p>
    <w:p>
      <w:r>
        <w:rPr>
          <w:b/>
        </w:rPr>
        <w:t>[Pages 4–5]</w:t>
      </w:r>
    </w:p>
    <w:p>
      <w:r>
        <w:t xml:space="preserve">A. ANALYSIS OF HORIZONTAL EFFECTS  </w:t>
        <w:br/>
        <w:t xml:space="preserve">1. THE MARKET FOR SMALL WARSHIPS  </w:t>
        <w:br/>
        <w:t xml:space="preserve">19. Through Kership, DCNS and Piriou aimed to develop a shipbuilding activity for vessels under 95 meters that are lightly armed, a market segment in which DCNS and Piriou were not able to operate independently.  </w:t>
        <w:br/>
        <w:t xml:space="preserve">20. Prior to the creation of Kership, DCNS did not have the industrial tools required to manufacture this type of vessel. Its shipbuilding activity focused on longer, more heavily armed, and more expensive ships, such as frigates or corvettes. However, DCNS has an activity in the design of naval defense systems, including combat systems, and an activity in the integration of communication systems likely to equip lightly armed vessels.  </w:t>
        <w:br/>
        <w:t xml:space="preserve">21. Piriou, for its part, is capable of building unarmed vessels shorter than 95 meters, designed according to civil standards, at competitive prices and within short timeframes. However, Piriou does not possess any expertise in armament and is therefore not able to equip its vessels for state action at sea.  </w:t>
        <w:br/>
        <w:t xml:space="preserve">22. The transformation of Kership into a full-function company thus allows, through the pooling of complementary know-how, the emergence of a new operator for the construction of lightly armed vessels. It is therefore not likely to harm competition in the market for small warships through horizontal effects in France.  </w:t>
        <w:br/>
        <w:t xml:space="preserve">2. THE MARKET FOR PERIODIC MAINTENANCE OF NON-COMPLEX VESSELS  </w:t>
        <w:br/>
        <w:t xml:space="preserve">23. Kership offers periodic maintenance services for non-complex vessels. However, this is an ancillary activity to its business of selling lightly armed vessels. It aims to meet the demand of customers who, at the time of ordering a vessel, require the provision of maintenance services for the first years of the vessel's commissioning. Kership does not have an independent activity in this market.  </w:t>
        <w:br/>
        <w:t xml:space="preserve">24. DCNS and Piriou, on the other hand, have a full-fledged activity in the market for periodic maintenance of non-complex vessels that exceeds the scope of their collaboration within Kership. The risk that the operation encourages these two companies to coordinate their competitive behavior in this market must therefore be examined.  </w:t>
        <w:br/>
        <w:t xml:space="preserve">25. Such a risk, however, seems unlikely in this case. Indeed, the maintenance services of DCNS and Piriou, given their shipbuilding activities, do not target the same types of vessels. Piriou focuses on unarmed vessels shorter than 100 meters designed according to civil standards. DCNS maintains longer and more heavily armed vessels, which require different maintenance services. Any potential coordination between DCNS and Piriou would therefore have limited utility and thus seems unlikely.  </w:t>
        <w:br/>
        <w:t xml:space="preserve">26. In any case, such coordination would have a limited effect on competition given the market shares of DCNS and Piriou in the market for periodic maintenance of non-complex vessels. Piriou holds a market share of [0-5]% in this market, where DCNS's market share does not exceed [10-20]%.  </w:t>
        <w:br/>
        <w:t>27. Therefore, the proposed operation is not likely to affect competition through horizontal effects in the market for periodic maintenance of non-complex vessels.</w:t>
      </w:r>
    </w:p>
    <w:p>
      <w:r>
        <w:t xml:space="preserve">B. ANALYSIS OF VERTICAL EFFECTS  </w:t>
        <w:br/>
        <w:t xml:space="preserve">28.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29. In this case, Kership is active in the market for small warships, which is upstream of the market for periodic maintenance of non-complex vessels in which DCNS and Piriou operate.  </w:t>
        <w:br/>
        <w:t xml:space="preserve">30. The decision-making practice of competition authorities generally rules out the risks of market lock-in when the share of the company resulting from the operation in the relevant markets does not exceed 30%7.  </w:t>
        <w:br/>
        <w:t xml:space="preserve">31. In the downstream market for periodic maintenance of non-complex vessels, DCNS and Piriou hold market shares of [10-20]% and [0-5]%, respectively. They are also faced with a significant number of competitors, including CMN ([10-20]% market share), STX ([10-20]%), or Damen ([10-20]%). Given the market share of the parties and the structure of the market, DCNS and Piriou do not have sufficient market power to support any potential leveraging effect.  </w:t>
        <w:br/>
        <w:t xml:space="preserve">32. In the upstream market for small warships, Kership, in collaboration with its parent companies, has won two of the seven tenders launched since 2013, which is less than 30% of the tenders. It also faces a significant number of competitors, such as Socarenam, H2X, STX, CMN, or Damen. Kership therefore does not have sufficient market power in the market for small warships to impose on its clients the use of its maintenance services or those of its parent companies.  </w:t>
        <w:br/>
        <w:t xml:space="preserve">33. Consequently, the operation is not likely to harm competition through vertical effects.  </w:t>
        <w:br/>
        <w:t xml:space="preserve">DECIDES  </w:t>
        <w:br/>
        <w:t xml:space="preserve">Sole Article: The operation notified under number 16-076 is authorized.  </w:t>
        <w:br/>
        <w:t xml:space="preserve">The Vice-President,  </w:t>
        <w:br/>
        <w:t xml:space="preserve">Claire Favre  </w:t>
        <w:br/>
        <w:t xml:space="preserve">© Competition Authority  </w:t>
        <w:br/>
        <w:t>7 Point 451 of the Guidelines of the Competition Authority regarding the control of concentrations.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