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https://www.autoritedelaconcurrence.fr/fr/decision-de-controle-des-concentrations/relative-la-creation-dune-entreprise-commune-entre-la-0</w:t>
      </w:r>
    </w:p>
    <w:p>
      <w:r>
        <w:t>Pages translated : 5</w:t>
      </w:r>
    </w:p>
    <w:p/>
    <w:p>
      <w:r>
        <w:rPr>
          <w:b/>
        </w:rPr>
        <w:t>[Pages 1–3]</w:t>
      </w:r>
    </w:p>
    <w:p>
      <w:r>
        <w:t xml:space="preserve">FRENCH REPUBLIC  </w:t>
        <w:br/>
        <w:t xml:space="preserve">Decision No. 17-DCC-120 of July 26, 2017  </w:t>
        <w:br/>
        <w:t>regarding the creation of a joint venture between the Caisse des Dépôts et Consignations and the Idec group</w:t>
      </w:r>
    </w:p>
    <w:p>
      <w:r>
        <w:t xml:space="preserve">The Competition Authority,  </w:t>
        <w:br/>
        <w:t xml:space="preserve">Having regard to the notification file submitted in full to the concentrations service on June 21, 2017, regarding the creation of a joint venture between the Caisse des Dépôts et Consignations and the Idec group, formalized by a letter of intent dated January 26, 2017;  </w:t>
        <w:br/>
        <w:t xml:space="preserve">Having regard to Book IV of the Commercial Code relating to price and competition freedom,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The Caisse des Dépôts et Consignations (hereinafter, "CDC") is a public institution with a special legal status, governed by Articles L. 518-2 and following of the Monetary and Financial Code, which fulfills missions of general interest, supporting public policies conducted by the State and local authorities, and which engages in activities open to competition. These are grouped around four poles: (i) the environment, (ii) real estate, through its subsidiaries Société Nationale Immobilière and Icade, (iii) investment and private equity, and (iv) services. Established by the law of April 28, 1816, CDC is placed "under the supervision and guarantee of the legislative authority," this governance mode being intended to ensure the autonomy of this institution which manages private funds requiring particular protection.  </w:t>
        <w:br/>
        <w:t xml:space="preserve">2. Groupe Idec Invest (hereinafter, "Idec Invest") is exclusively controlled by Groupe Idec, which specializes in real estate. Idec Invest is responsible for the group's investments. It designs and offers rental solutions to a clientele consisting of private and public companies.  </w:t>
        <w:br/>
        <w:t xml:space="preserve">3. The notified operation consists of the creation of a full-function joint venture whose purpose is the creation and operation of a data center, located in Aubergenville, in the Yvelines (78). This joint venture, the company "Thésée Data Center" (hereinafter, "Thésée"), will have sufficient resources to operate independently in a market and, in particular, all the structural elements necessary for the functioning of autonomous companies (human resources, budget, commercial responsibility). It will operate in a market by performing the functions that are normally carried out by other companies present in this market and is intended to function sustainably.  </w:t>
        <w:br/>
        <w:t xml:space="preserve">4. According to the letter of intent signed by the parties on January 26, 2017, CDC and Idec Invest will become shareholders of the holding company "Égée Data Center Holding," created for the purposes of the operation (hereinafter, "the holding Égée"), alongside two individuals who, together and individually, will not hold any veto rights over its strategic decisions. Indeed, CDC and Idec Invest will each hold […] % of its capital and voting rights. Given the governance rules provided1, CDC and Idec Invest will need to agree on the strategic decisions of the holding Égée, [confidential]. The holding Égée will hold all the capital and voting rights of the company Thésée.  </w:t>
        <w:br/>
        <w:t xml:space="preserve">5. As it results in the creation of a full-function joint venture, the notified operation constitutes a concentration operation within the meaning of Article L. 430-1 of the Commercial Code.  </w:t>
        <w:br/>
        <w:t>6. The concerned companies together achieve a total worldwide turnover excluding taxes of more than 150 million euros (CDC: […] euros for the fiscal year ending December 31, 2015; Groupe Idec: […] euros for the same fiscal year). Each of these companies has achieved a turnover in France exceeding 50 million euros (CDC: […] euros for the fiscal year ending December 31, 2015; Groupe Idec: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7. The company Thésée will carry out its activity in the data center sector.  </w:t>
        <w:br/>
        <w:t xml:space="preserve">8. A data center is a real estate and technical infrastructure intended for hosting a significant concentration of IT equipment. Data centers consist of racks (standardized connection cabinets) in which application servers (on which software is executed), data servers (which ensure data storage), network equipment (routers, firewalls, load balancers, and switches) interconnecting these servers, and technical equipment ensuring the continuity of power supply (using batteries). Each of these racks is connected to the power supply of the data center (itself secured by generators) and to the various high-speed networks that these servers support. They all benefit from a climate-controlled environment and site security (intrusion, fire).  </w:t>
        <w:br/>
        <w:t xml:space="preserve">1 [Confidential].  </w:t>
        <w:br/>
        <w:t>2</w:t>
      </w:r>
    </w:p>
    <w:p>
      <w:r>
        <w:t>9. Data center clients are either end clients, who manage the operation of their servers themselves, or hosting providers, who operate servers on behalf of their clients. A company can thus directly rent space within a data center to host its equipment or go through a third party that handles the space rental and equipment operation.</w:t>
      </w:r>
    </w:p>
    <w:p>
      <w:r>
        <w:t xml:space="preserve">A. THE SERVICE MARKET  </w:t>
        <w:br/>
        <w:t xml:space="preserve">10. Decision-making practice has defined a market for colocation services provided by external data centers2. According to the European Commission, external data centers do not belong to the same market as data centers operated by companies for hosting their own services3.  </w:t>
        <w:br/>
        <w:t xml:space="preserve">11. Conversely, the Commission considered that it was not relevant to further subdivide this market. Firstly, it considered that the colocation services offered by network operators are part of the same market as the services offered by independent data centers. While the offerings provided by network operators may be less attractive in terms of connectivity and ancillary services, the Commission notes that this difference is currently less significant. Secondly, it considered that it was not relevant to distinguish between "wholesale4" colocation offers and "retail5" offers as these two ranges of offers tend to converge towards each other and are often in competition. Lastly, the Commission considered that it was not relevant to segment the market based on the type of clientele. Although some clients express specific needs (redundancy, latency, location), the Commission observes that data centers frequently host all types of clientele in varying proportions.  </w:t>
        <w:br/>
        <w:t xml:space="preserve">12. There is no reason to challenge this market definition in the present decision.  </w:t>
        <w:br/>
        <w:t>13. In this case, the company Thésée, as an independent provider, will operate in the market for colocation services provided by external data centers.</w:t>
      </w:r>
    </w:p>
    <w:p>
      <w:r>
        <w:t xml:space="preserve">B. THE GEOGRAPHICAL MARKET  </w:t>
        <w:br/>
        <w:t xml:space="preserve">14. Decision-making practice has retained a geographical market limited to each concerned metropolitan area, corresponding to a radius of approximately 50 km from the city center6.  </w:t>
        <w:br/>
        <w:t xml:space="preserve">15. In the present operation, however, the parties consider that it is necessary to distinguish very large data centers that are intended to meet national or even global demand from smaller data centers that can respond to demands manifesting themselves.  </w:t>
        <w:br/>
        <w:t xml:space="preserve">2 See the European Commission decision COMP/M.7678 – Equinix/Telecity of November 13, 2015.  </w:t>
        <w:br/>
        <w:t xml:space="preserve">3 The Commission particularly considered that users of data center services do not have the necessary expertise to create such infrastructure and that they do not, alone, have the capacity to take advantage of the economies of scale that characterize this sector.  </w:t>
        <w:br/>
        <w:t xml:space="preserve">4 Large rental spaces, based on long-term contracts, with competitive prices but limited services (notably limited connectivity options).  </w:t>
        <w:br/>
        <w:t xml:space="preserve">5 Smaller spaces based on short or medium-term contracts with more services.  </w:t>
        <w:br/>
        <w:t>6 COMP/M.7678, cited above.</w:t>
      </w:r>
    </w:p>
    <w:p>
      <w:r>
        <w:rPr>
          <w:b/>
        </w:rPr>
        <w:t>[Pages 4–5]</w:t>
      </w:r>
    </w:p>
    <w:p>
      <w:r>
        <w:t>within each metropolitan area and corresponding to a radius of 50 km from the city center.</w:t>
        <w:br/>
        <w:t>16. In this case, the competitive analysis will be conducted at the level of the Île-de-France region.</w:t>
        <w:br/>
        <w:t>III. Competitive Analysis</w:t>
        <w:br/>
        <w:t>17. Neither CDC nor the Idec group are active in the sector of colocation services provided by external data centers7, so there is no horizontal overlap. However, CDC itself, and several of the subsidiaries in which it holds stakes, are clients of the hosting services offered by data centers. The competitive analysis will therefore be limited to the analysis of vertical effects.</w:t>
        <w:br/>
        <w:t>18. A vertical concentration is likely to lead to two types of foreclosure: (i) foreclosure of the market for inputs, when the integrated company refuses to sell an input to its downstream competitors or provides it to them at a high price, under unfavorable conditions or at a degraded quality level and/or (ii) customer foreclosure, when the downstream branch of the integrated company refuses to purchase or distribute the products of upstream active producers, thereby reducing their commercial outlets. However, the Authority considers that it is unlikely that a company with a market share of less than 30% in a given market could foreclose a downstream or upstream market8.</w:t>
        <w:br/>
        <w:t>19. In this case, the joint venture has only a very limited market share, which makes the effects described above unlikely.</w:t>
        <w:br/>
        <w:t>20. Given the nature of the services provided, and in particular the fact that the hosted equipment consists of standard equipment (servers stored in racks), decision-making practice considers two metrics to evaluate market shares: the area of data centers expressed in m² or the electrical power of the site (megawatt or "MW").</w:t>
        <w:br/>
        <w:t>21. The Commission notes, however, that the hosting market is characterized by a low level of customer turnover. Indeed, once a client's servers are installed in a center, it is very rare for their owners to choose to move this equipment to another data center. The Commission therefore considers that the metrics that should be taken into account to estimate market shares are available m² as well as available MW, and not the total installed capacity9.</w:t>
        <w:br/>
        <w:t>22. The parties estimate that the joint venture will hold an estimated market share of [0-5]% in terms of colocation services provided by external data centers, by comparing the available area of the future data center ([…] m²) to the total area of data centers present in the Paris metropolitan area (180,000 m²). They have also provided elements allowing for the estimation that, on average, in the first quarters of the years 2016 and 2017, the available capacity in Paris in MW represented approximately 14% of the total capacity10. The market share of the future data center can therefore be estimated at less than 5% of the available capacity in Île-de-France.</w:t>
        <w:br/>
        <w:t>23. Under these conditions, the present operation is not likely to harm competition through a customer foreclosure effect, as customers have many alternatives in terms of colocation service offerings provided by external data centers in Île-de-France.</w:t>
        <w:br/>
        <w:t>24. Regarding the risk of upstream foreclosure, the parties estimate that their needs for colocation services provided by data centers do not represent more than 5% of the existing capacities currently on the Île-de-France market. Given this very limited position, the present operation is not likely to harm competition through an input foreclosure effect, as described in point 18.</w:t>
        <w:br/>
        <w:t>25. In light of the above, the notified operation is not likely to harm competition in the relevant markets.</w:t>
        <w:br/>
        <w:t>DECIDES</w:t>
        <w:br/>
        <w:t>Sole Article: The operation notified under number 17-112 is authorized.</w:t>
        <w:br/>
        <w:t>The President,</w:t>
        <w:br/>
        <w:t>Isabelle de Silva</w:t>
        <w:br/>
        <w:t>© Competition Authority</w:t>
        <w:br/>
        <w:t>10 See the study "Europe Data Centres, Q1 2017" by the commercial real estate consulting group CBRE, according to which the available capacity represented in Paris 12.5% of the total capacity in the first quarter of 2016 and 15.5% in the first quarter of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