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https://www.autoritedelaconcurrence.fr/fr/decision-de-controle-des-concentrations/relative-la-creation-dune-entreprise-commune-entre-la-1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17-DCC-222 of December 22, 2017  </w:t>
        <w:br/>
        <w:t xml:space="preserve">regarding the creation of a joint venture between the Caisse des Dépôts et Consignations and the company Picoty  </w:t>
        <w:br/>
        <w:t xml:space="preserve">The Competition Authority,  </w:t>
        <w:br/>
        <w:t xml:space="preserve">Having regard to the complete notification file submitted to the mergers department on November 17, 2017, concerning the creation of a joint venture between the Caisse des Dépôts et Consignations and the company Picoty, formalized by a cooperation protocol dated June 16, 2017;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creation by the Caisse des Dépôts et Consignations and the company Picoty of a full-function joint venture, which aims at the design, creation, and operation of a data center, located in Saint-Maurice-La-Souterraine (23). It constitutes a concentration operation within the meaning of Article L. 430-1 of the Commercial Code. Given the turnover achieved by the concerned companies, the thresholds provided for in Article 1, paragraph 2, a) and b) of Council Regulation (EC) No. 139/2004 of January 20, 2004 are met. Nevertheless, since each of the concerned companies generates more than two-thirds of its turnover in the European Union in a single Member State, France, the operation does not fall under the jurisdiction of the European Commission.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17-178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