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https://www.autoritedelaconcurrence.fr/fr/decision-de-controle-des-concentrations/relative-la-creation-dune-entreprise-commune-entre-la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10-DCC-146 of October 29, 2010  </w:t>
        <w:br/>
        <w:t xml:space="preserve">regarding the creation of a joint venture between the company  </w:t>
        <w:br/>
        <w:t xml:space="preserve">Mondadori Electa S.p.A. and the Réunion des Musées Nationaux  </w:t>
        <w:br/>
        <w:t xml:space="preserve">The Competition Authority,  </w:t>
        <w:br/>
        <w:t xml:space="preserve">Having regard to the notification file submitted in full to the concentrations service on  </w:t>
        <w:br/>
        <w:t xml:space="preserve">September 30, 2010, regarding the creation of a joint venture ("JVCO") between the company  </w:t>
        <w:br/>
        <w:t xml:space="preserve">Mondadori Electa S.p.A., which belongs to the Mondadori group, itself controlled by the  </w:t>
        <w:br/>
        <w:t xml:space="preserve">Fininvest group, and the company Editions d’Art Lys, a subsidiary of the Réunion des Musées  </w:t>
        <w:br/>
        <w:t xml:space="preserve">Nationaux, formalized by a framework agreement dated September 8, 2010, and a letter of  </w:t>
        <w:br/>
        <w:t xml:space="preserve">amendment to the framework agreement dated September 9, 2010;  </w:t>
        <w:br/>
        <w:t xml:space="preserve">Having regard to Book IV of the Commercial Code relating to the freedom of prices and  </w:t>
        <w:br/>
        <w:t xml:space="preserve">competition, and in particular its Articles L. 430-1 to L. 430-7;  </w:t>
        <w:br/>
        <w:t xml:space="preserve">Having regard to the supplementary elements transmitted by the parties during the investigation;  </w:t>
        <w:br/>
        <w:t xml:space="preserve">Adopts the following decision:  </w:t>
        <w:br/>
        <w:t xml:space="preserve">I. The concerned companies and the operation  </w:t>
        <w:br/>
        <w:t xml:space="preserve">1. The Réunion des Musées Nationaux (RMN) is a public establishment of an industrial and  </w:t>
        <w:br/>
        <w:t xml:space="preserve">commercial nature placed under the supervision of the Minister responsible for Culture. The  </w:t>
        <w:br/>
        <w:t xml:space="preserve">primary mission of the RMN is to acquire works of art intended to enrich the national collections.  </w:t>
        <w:br/>
        <w:t xml:space="preserve">The RMN also has cultural dissemination missions through the organization of exhibitions, the  </w:t>
        <w:br/>
        <w:t xml:space="preserve">publishing and marketing of works and reproductions. Furthermore, the RMN manages commercial  </w:t>
        <w:br/>
        <w:t xml:space="preserve">spaces and publishes guides and catalogs for several regional museums such as in Grenoble,  </w:t>
        <w:br/>
        <w:t xml:space="preserve">Lyon, or Rouen. The RMN's revenues come from the collection of all or part of the entrance fee  </w:t>
        <w:br/>
        <w:t xml:space="preserve">to national museums and from the results of its commercial activities (publishing of guides,  </w:t>
        <w:br/>
        <w:t xml:space="preserve">catalogs, images, video films, CD-ROMs, molds, and other derivative products). The RMN directly  </w:t>
        <w:br/>
        <w:t xml:space="preserve">controls the company Editions Art Lys, a public limited company established in France, of which  </w:t>
        <w:br/>
        <w:t xml:space="preserve">it holds 99.99% of the capital. Art Lys is responsible for the design, production, and publication  </w:t>
        <w:br/>
        <w:t xml:space="preserve">of art books intended for the public of museums and monuments, as well as for art history  </w:t>
        <w:br/>
        <w:t xml:space="preserve">enthusiasts. It notably designs and produces visitor guides for numerous museum and heritage  </w:t>
        <w:br/>
        <w:t xml:space="preserve">sites, collection guides, exhibition catalogs, specialized works in art history, as well as a range  </w:t>
        <w:br/>
        <w:t xml:space="preserve">of derivative products in the field of imagery. The company Art Lys also holds 100% of the  </w:t>
        <w:br/>
        <w:t xml:space="preserve">capital of the company RMN - Musée du Luxembourg, a simplified joint-stock company,  </w:t>
        <w:br/>
        <w:t xml:space="preserve">established in France. The company RMN - Musée du Luxembourg, created in July 2010,  </w:t>
        <w:br/>
        <w:t xml:space="preserve">manages the Jardin du Luxembourg museum, notably through the organization of exhibitions and  </w:t>
        <w:br/>
        <w:t xml:space="preserve">operates services for the benefit of visitors, such as the shop and the restaurant.  </w:t>
        <w:br/>
        <w:t xml:space="preserve">2. Mondadori Electa S.p.A. is a company 100% owned by the parent company of the Mondadori  </w:t>
        <w:br/>
        <w:t xml:space="preserve">group, Arnoldo Mondadori Editore S.p.A., itself controlled by the Fininvest group, the majority  </w:t>
        <w:br/>
        <w:t xml:space="preserve">shareholder holding more than 50% of its capital. The Mondadori group is an Italian group active  </w:t>
        <w:br/>
        <w:t xml:space="preserve">in the media and entertainment sector. The Mondadori group designs, publishes, and distributes all  </w:t>
        <w:br/>
        <w:t xml:space="preserve">types of books. It is also a publisher of magazines that are distributed mainly in Italy and France.  </w:t>
        <w:br/>
        <w:t xml:space="preserve">In addition to traditional magazine publishing, the group has taken advantage of the development  </w:t>
        <w:br/>
        <w:t xml:space="preserve">of the Internet to diversify its offerings by creating websites for some of its magazines. The  </w:t>
        <w:br/>
        <w:t xml:space="preserve">Mondadori group also has an advertising space sales activity for all types of media (magazines,  </w:t>
        <w:br/>
        <w:t xml:space="preserve">websites, and national radio) and direct marketing. Mondadori Electa encompasses two types of  </w:t>
        <w:br/>
        <w:t xml:space="preserve">activities: the publishing of art books and illustrated books, on the one hand, and the management  </w:t>
        <w:br/>
        <w:t xml:space="preserve">of museums and the organization of temporary exhibitions and cultural events, on the other hand.  </w:t>
        <w:br/>
        <w:t xml:space="preserve">3. The notified operation, formalized by a framework agreement dated September 8, 2010, and a  </w:t>
        <w:br/>
        <w:t xml:space="preserve">letter of amendment to the framework agreement dated September 9, 2010, concerns the creation  </w:t>
        <w:br/>
        <w:t xml:space="preserve">of a joint venture between the company Mondadori Electa S.P.A and the Réunion des Musées  </w:t>
        <w:br/>
        <w:t xml:space="preserve">Nationaux (RMN) through its subsidiary Editions d’Art Lys. The operation will take place in two  </w:t>
        <w:br/>
        <w:t xml:space="preserve">phases: initially, the Parties will create the JVCO, a limited liability company (società a  </w:t>
        <w:br/>
        <w:t xml:space="preserve">responsabilità limitata) registered under Italian law, with capital to be held 75% by Mondadori  </w:t>
        <w:br/>
        <w:t xml:space="preserve">Electa and 25% by the RMN. In a second phase, the RMN will purchase 25% of the capital of the  </w:t>
        <w:br/>
        <w:t xml:space="preserve">JVCO from Mondadori Electa. For the entirety of the Operation, the RMN will act through its  </w:t>
        <w:br/>
        <w:t xml:space="preserve">subsidiary, Editions d’Art Lys.  </w:t>
        <w:br/>
        <w:t xml:space="preserve">4. At the end of the operation, the capital of the joint venture will be held 50% by each of the  </w:t>
        <w:br/>
        <w:t xml:space="preserve">Parties, which will jointly control it according to the governance modalities detailed in the  </w:t>
        <w:br/>
        <w:t xml:space="preserve">framework agreement. Furthermore, this joint venture will have all the necessary elements for  </w:t>
        <w:br/>
        <w:t xml:space="preserve">autonomous and sustainable operation.  </w:t>
        <w:br/>
        <w:t xml:space="preserve">5. In that it leads to the creation of a joint venture performing all the functions of an autonomous  </w:t>
        <w:br/>
        <w:t xml:space="preserve">economic entity sustainably, the notified operation is indeed a concentration within the meaning of  </w:t>
        <w:br/>
        <w:t xml:space="preserve">Article L. 430-1 II. of the Commercial Code.  </w:t>
        <w:br/>
        <w:t xml:space="preserve">6. The concerned companies together achieve a total worldwide turnover of more than 150 million  </w:t>
        <w:br/>
        <w:t xml:space="preserve">euros (Fininvest group: 4.3 billion euros for the fiscal year ending December 31, 2009; the RMN:  </w:t>
        <w:br/>
        <w:t xml:space="preserve">93.44 million euros for the same year). Each achieves in France a turnover exceeding 50 million  </w:t>
        <w:br/>
        <w:t xml:space="preserve">euros (for the Mondadori group alone: 328 million euros for the fiscal year ending December 31,  </w:t>
        <w:br/>
        <w:t xml:space="preserve">2009; the RMN: 92.3 million euros for the same year). Given these turnover figures, the operation  </w:t>
        <w:br/>
        <w:t xml:space="preserve">does not have a community dimension. On the other hand, the control thresholds mentioned in  </w:t>
        <w:br/>
        <w:t xml:space="preserve">point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>2</w:t>
      </w:r>
    </w:p>
    <w:p>
      <w:r>
        <w:t xml:space="preserve">II. Competitive analysis  </w:t>
        <w:br/>
        <w:t xml:space="preserve">7. The joint venture resulting from the operation will aim to respond to calls for tenders in the  </w:t>
        <w:br/>
        <w:t xml:space="preserve">field of managing museum shops, monuments, and cultural institutions in Italy, and if contracts are  </w:t>
        <w:br/>
        <w:t xml:space="preserve">won, the management of the concessions that will be entrusted to it, as well as the design,  </w:t>
        <w:br/>
        <w:t xml:space="preserve">production, and sale of books and cultural products intended for the Italian market.  </w:t>
        <w:br/>
        <w:t xml:space="preserve">8. The notifying parties argue that the relevant markets are those of the sale of art books, the sale  </w:t>
        <w:br/>
        <w:t xml:space="preserve">of postcards, and the sale of cultural objects, markets of at most national dimension, and that  </w:t>
        <w:br/>
        <w:t xml:space="preserve">consequently, the markets concerned by the operation are all located in Italy, with no French market  </w:t>
        <w:br/>
        <w:t xml:space="preserve">being affected by the operation. Moreover, they argue that it does not entail any risk of  </w:t>
        <w:br/>
        <w:t xml:space="preserve">coordination of the parent companies in a French market since the RMN and the Mondadori group  </w:t>
        <w:br/>
        <w:t xml:space="preserve">are not present in the same sectors of activity in France, Mondadori only having activity in France in  </w:t>
        <w:br/>
        <w:t xml:space="preserve">the magazine sales markets, a sector in which the RMN is not present.  </w:t>
        <w:br/>
        <w:t xml:space="preserve">9. Given the linguistic and cultural factors that characterize the products in question and without  </w:t>
        <w:br/>
        <w:t xml:space="preserve">the need to further specify the scope of the relevant markets, it can indeed be considered that the  </w:t>
        <w:br/>
        <w:t xml:space="preserve">operation does not affect competition in French territory. It has also been notified to the Italian  </w:t>
        <w:br/>
        <w:t xml:space="preserve">competition authority on September 30, 2010.  </w:t>
        <w:br/>
        <w:t xml:space="preserve">DECIDES  </w:t>
        <w:br/>
        <w:t xml:space="preserve">Sole Article: The operation notified under number 10-0166 is authorized.  </w:t>
        <w:br/>
        <w:t xml:space="preserve">The President,  </w:t>
        <w:br/>
        <w:t xml:space="preserve">Bruno Lasserre  </w:t>
        <w:br/>
        <w:t xml:space="preserve">Competition Authority  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