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https://www.autoritedelaconcurrence.fr/fr/decision-de-controle-des-concentrations/relative-la-creation-dune-entreprise-commune-entre-les-0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17-DCC-228 of December 29, 2017  </w:t>
        <w:br/>
        <w:t xml:space="preserve">regarding the creation of a joint venture between the companies  </w:t>
        <w:br/>
        <w:t xml:space="preserve">RATP Développement and Keolis  </w:t>
        <w:br/>
        <w:t xml:space="preserve">The Competition Authority,  </w:t>
        <w:br/>
        <w:t xml:space="preserve">Having regard to the complete notification file sent to the mergers department on  </w:t>
        <w:br/>
        <w:t xml:space="preserve">December 12, 2017, concerning the creation of a joint venture between the companies RATP  </w:t>
        <w:br/>
        <w:t xml:space="preserve">Développement SA and Keolis SA, formalized by the consortium agreement constituted by RATP  </w:t>
        <w:br/>
        <w:t xml:space="preserve">Développement SA and Keolis SA dated July 10, 2015, to respond to the call for tenders  </w:t>
        <w:br/>
        <w:t xml:space="preserve">organized by Qatar Rail regarding the operation and maintenance of the Doha metro and the  </w:t>
        <w:br/>
        <w:t xml:space="preserve">Lusail tramway in Qatar, as well as two letters of acceptance of the offers dated  </w:t>
        <w:br/>
        <w:t xml:space="preserve">December 6, 2017;  </w:t>
        <w:br/>
        <w:t xml:space="preserve">Having regard to Book IV of the Commercial Code relating to the freedom of prices and  </w:t>
        <w:br/>
        <w:t xml:space="preserve">competition, and in particular its Articles L. 430-1 to L. 430-7;  </w:t>
        <w:br/>
        <w:t xml:space="preserve">Adopts the following decision:  </w:t>
        <w:br/>
        <w:t xml:space="preserve">1. The notified operation consists of the creation by the companies RATP Développement and Keolis  </w:t>
        <w:br/>
        <w:t xml:space="preserve">of a joint venture, which aims to execute the contracts for the operation and  </w:t>
        <w:br/>
        <w:t xml:space="preserve">maintenance of the Doha metro and the Lusail tramway in Qatar.  </w:t>
        <w:br/>
        <w:t xml:space="preserve">2. It constitutes a concentration operation within the meaning of Article L. 430-1 of the  </w:t>
        <w:br/>
        <w:t xml:space="preserve">Commercial Code. Given the turnover achieved by the companies concerned, the thresholds  </w:t>
        <w:br/>
        <w:t xml:space="preserve">provided for in Article 1, paragraph 2, a) and b) of Council Regulation (EC) No. 139/2004 of  </w:t>
        <w:br/>
        <w:t xml:space="preserve">January 20, 2004, are met. Nevertheless, since each of the companies concerned generates more  </w:t>
        <w:br/>
        <w:t xml:space="preserve">than two-thirds of its turnover in the European Union in a single Member State, France, the  </w:t>
        <w:br/>
        <w:t xml:space="preserve">operation does not fall under the jurisdiction of the European Commission. On the other hand,  </w:t>
        <w:br/>
        <w:t xml:space="preserve">the control thresholds mentioned in 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3.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17-045 is authorized.  </w:t>
        <w:br/>
        <w:t xml:space="preserve">The Vice-President,  </w:t>
        <w:br/>
        <w:t xml:space="preserve">Claire Favre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