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https://www.autoritedelaconcurrence.fr/fr/decision-de-controle-des-concentrations/relative-la-creation-dune-entreprise-commune-entre-les-1</w:t>
      </w:r>
    </w:p>
    <w:p>
      <w:r>
        <w:t>Pages translated : 10</w:t>
      </w:r>
    </w:p>
    <w:p/>
    <w:p>
      <w:r>
        <w:rPr>
          <w:b/>
        </w:rPr>
        <w:t>[Pages 1–3]</w:t>
      </w:r>
    </w:p>
    <w:p>
      <w:r>
        <w:t xml:space="preserve">FRENCH REPUBLIC  </w:t>
        <w:br/>
        <w:t xml:space="preserve">Decision No. 18-DCC-90 of May 31, 2018  </w:t>
        <w:br/>
        <w:t xml:space="preserve">regarding the creation of a joint venture between the companies  </w:t>
        <w:br/>
        <w:t>Netgem SA, Réunicable SAS, and the Caisse des Dépôts et Consignations</w:t>
      </w:r>
    </w:p>
    <w:p>
      <w:r>
        <w:t xml:space="preserve">The Competition Authority,  </w:t>
        <w:br/>
        <w:t xml:space="preserve">Having regard to the notification file submitted in full to the merger service on April 20, 2018, regarding the creation of a joint venture between the companies Netgem, Réunicable, and the Caisse des Dépôts et Consignations, formalized by an investment protocol concluded on May 27, 2016, as well as by a letter of offer notifying the exercise of stock subscription warrants ("BSA") dated November 7, 2017;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Netgem SA (hereinafter, "Netgem") is a company active in the new technologies sector. It develops live or on-demand video entertainment solutions, notably through the marketing of a multi-platform TV platform available directly or through certain Internet service providers. Netgem also markets terminals or software necessary for the broadcasting of pay television services or access to the Internet. Netgem operates in France and in other European countries, in Asia, and in South America.  </w:t>
        <w:br/>
        <w:t xml:space="preserve">The Caisse des Dépôts et Consignations (hereinafter, "the CDC") is a public establishment with a special legal status, governed by Articles L. 518-2 and following of the Monetary and Financial Code, which fulfills missions of general interest, supporting public policies conducted by the State and local authorities, and which engages in activities open to competition. These activities are grouped around four poles: (i) the environment, (ii) real estate, through its subsidiaries Société Nationale Immobilière and Icade, (iii) investment and private equity, and (iv) services. Established by the law of April 28, 1816, the CDC is placed "under the oversight and guarantee of the legislative authority," this mode of governance being intended to ensure the autonomy of this institution which manages private funds requiring special protection.  </w:t>
        <w:br/>
        <w:t xml:space="preserve">Réunicable SAS (hereinafter, "Réunicable") is a company active in the telecommunications sector. It deploys and operates fiber optic networks and is active in the retail markets under the brand Zeop, in the territory of the DROM of La Réunion. Réunicable belongs to the Océinde group, which exercises exclusive control over it through the company THD Group. The Océinde group is also present in the construction and painting sectors, as well as in the agri-food sector, in the territory of the DROM of La Réunion. In 2017, the Océinde group acquired exclusive control of the company ASDL, active in the media sector in La Réunion.  </w:t>
        <w:br/>
        <w:t xml:space="preserve">On May 27, 2016, the parties concluded an investment protocol leading to the creation of the joint venture Vitis, jointly controlled by Netgem and the CDC. Since the turnover thresholds were not exceeded, the operation had not been controlled at that time. However, the investment protocol provided for the possibility of an increase in Réunicable's capital in Vitis through the exercise of two stock subscription warrants ("BSA").  </w:t>
        <w:br/>
        <w:t xml:space="preserve">The first BSA was exercised in two parts in April and then in December 2017, leading Réunicable to hold [&lt;15]% of the capital and [&lt;15]% of the voting rights. By a letter of offer dated November 7, 2017, Réunicable notified the exercise of the second BSA, leading Réunicable to hold [&gt;15]% of the capital and [&gt;15]% of the voting rights. However, under Article 4.4.5 of the Shareholders' Agreement of VITIS and Articles 16.3.4 and 16.4.2 of the statutes of Vitis, holding at least 15% of the voting rights grants the partners who hold them a veto right over certain strategic decisions. Under these conditions, it must be considered that the exercise of the second BSA grants Réunicable joint control over VITIS, alongside Netgem and the CDC.  </w:t>
        <w:br/>
        <w:t xml:space="preserve">The possibility for Réunicable to increase its capital in Vitis was established as early as the conclusion of the investment protocol in May 2016, which acts as the foundation for the creation of Vitis as a joint venture. Furthermore, these two successive operations took place between the same companies within a period of less than two years. In accordance with Article 5, § 2, of Regulation (EC) No. 139/2004, "two or more operations within the meaning of the first paragraph that have taken place within a period of two years between the same persons or companies are to be considered as a single concentration occurring on the date of the last operation."  </w:t>
        <w:br/>
        <w:t xml:space="preserve">Under these conditions, the two operations, on the one hand, the creation in 2016 of a joint venture, Vitis, and on the other hand, the change in 2018 of joint control over this joint venture, are analyzed as a single concentration.  </w:t>
        <w:br/>
        <w:t xml:space="preserve">1 See Article L. 518-2 of the Monetary and Financial Code.  </w:t>
        <w:br/>
        <w:t xml:space="preserve">2 Réunicable provides a fixed telephony offer (construction of the offer, purchase of minutes, and international interconnection) to Zeop in the territory of La Réunion as well as to Vitis in mainland France.  </w:t>
        <w:br/>
        <w:t xml:space="preserve">3 Decision No. 17-DCC-25 of February 16, 2017, regarding the acquisition of exclusive control of the company ASDL by the Océinde group.  </w:t>
        <w:br/>
        <w:t xml:space="preserve">4 Réunicable also holds a non-controlling interest in Vitis.  </w:t>
        <w:br/>
        <w:t xml:space="preserve">5 During a capital increase, the management of Vitis acquired [&lt;5]% of the capital. However, these shares are not accompanied by any voting rights.  </w:t>
        <w:br/>
        <w:t>6 The investment protocol indeed provides, in Articles 4.2 and following, the terms of a capital increase of Vitis, in favor of Réunicable, through the issuance of two series of BSAs. Article 4.2.2 specifies in particular: "Concomitant to the capital increase of Réunicable, [...] stock subscription warrants of Vitis giving Réunicable the right to subscribe [...] ordinary shares of Vitis (the "BSA 1") and 1 stock subscription warrant of Vitis giving Réunicable the right to subscribe [...] ordinary shares of Vitis (the "BSA 2")."</w:t>
      </w:r>
    </w:p>
    <w:p>
      <w:r>
        <w:t xml:space="preserve">Vitis has as its main object the marketing to the general public of a Very High Speed offer on public initiative networks ("RIP") in the territory of metropolitan France. Vitis has a dedicated activity, distinct from that of its parent companies. It has adequate financial resources, dedicated premises, 45 employees, and information systems for the provision of services, customer relations, and billing. Finally, according to its statutes, Vitis is created for a duration of 99 years. Therefore, the joint venture will have sufficient resources to operate in the market autonomously and sustainably and can thus be qualified as a full-function joint venture.  </w:t>
        <w:br/>
        <w:t xml:space="preserve">As it results in the creation of a full-function joint venture, the notified operation constitutes a concentration operation within the meaning of Article L. 430-1 of the Commercial Code.  </w:t>
        <w:br/>
        <w:t>The concerned companies together achieve a total turnover excluding taxes on a global scale of more than 150 million euros (CDC: [&gt;150 million] euros for the fiscal year ending December 31, 2016; Océinde: [&gt;50 million] euros for the same fiscal year; Netgem: [&gt;50 million] euros for the same fiscal year). Two of these companies have achieved in France a turnover exceeding 50 million euros (CDC: [&gt;150 million] euros for the fiscal year ending December 31, 2016; Océinde: [&gt;50 million] euros for the same fiscal year; Netgem: [&gt;50 million] euros for the same fiscal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The parties are active in the electronic communications markets, in the television services markets, and in various upstream, downstream, or related markets.  </w:t>
        <w:br/>
        <w:t xml:space="preserve">There is a vertical link between the parties' activity in the upstream wholesale market of activated offers and their activity in the retail markets of Internet access. This decision will therefore develop the analysis of these markets.  </w:t>
        <w:br/>
        <w:t xml:space="preserve">The wholesale markets for fixed telecommunications, excluding fixed telephony, correspond to the wholesale offers that various Internet service providers ("ISPs") rely on to propose Internet access offers to their customers. ISPs do not all have a network allowing direct access to their subscribers. They may also only have a local network in part of the territory. To be able to offer their retail offers throughout the territory, they therefore purchase wholesale offers from local loop operators.  </w:t>
        <w:br/>
        <w:t xml:space="preserve">7 Since 2004 and the law for trust in the digital economy, local authorities are authorized to establish public initiative networks (RIP) to address the lack of private initiative in order to improve the digital coverage of their territories.  </w:t>
        <w:br/>
        <w:t>8 Regarding other electronic communications markets, television services markets, or other upstream, downstream, or related markets in which the parties are active, particularly those concerning the operation of websites, the overlaps in activities or market shares are very limited and, in any case, the operation is not likely to harm competition in these markets, including through the coordination of the competitive behavior of the parent companies.</w:t>
      </w:r>
    </w:p>
    <w:p>
      <w:r>
        <w:rPr>
          <w:b/>
        </w:rPr>
        <w:t>[Pages 4–6]</w:t>
      </w:r>
    </w:p>
    <w:p>
      <w:r>
        <w:t>The decisional practice distinguishes between "passive" wholesale offers, which allow operators to build their offers by unbundling subscriber connection nodes ("NRA"), following a logic of infrastructure-based competition, and "activated" wholesale offers, which rely on third-party operators' infrastructures and fall under a logic of service-based competition. To provide Internet access offers to their customers, operators without a local loop can purchase passive wholesale offers or activated wholesale offers directly from local loop operators. They can also purchase activated wholesale offers from intermediary operators, who construct these accesses from passive wholesale offers that they have themselves purchased from local loop operators. The CDC is present in mainland France as a seller in the market for passive offers and in the market for activated offers through the RIPs in which it holds controlling interests. Similarly, Réunicable is present in La Réunion as a seller in both markets. In mainland France, Vitis is present as a buyer only in the market for activated offers, in the same way as Zeop in La Réunion. In the retail markets for Internet access, Vitis and Zeop are suppliers and distributors of Internet access offers respectively in mainland France and La Réunion.</w:t>
      </w:r>
    </w:p>
    <w:p>
      <w:r>
        <w:t>A. PRODUCT MARKETS</w:t>
      </w:r>
    </w:p>
    <w:p>
      <w:r>
        <w:t>1. THE WHOLESALE MARKET FOR ACTIVATED ACCESS OFFERS AT THE LOCAL LOOP</w:t>
      </w:r>
    </w:p>
    <w:p>
      <w:r>
        <w:t>When an operator chooses not to unbundle or deploy a FTTh network in a given geographical area, it can rely on an "activated" access offer, or "bitstream." Its data flow is then collected by the provider of the activated "bitstream" offer and routed to the various points of presence of the retail operator upstream of the network, via the provider's collection network. The services that a customer operator of this type of offer can provide to its end customers depend in this case on the technological choice made by the provider of the activated offer. Thus, some operators offer an activated offer that allows for the broadcasting of audiovisual content while others do not. Activated offers can be based on fiber optics, DSL, or coaxial cable and are offered by operators who have deployed their own local loop or who benefit from passive access to the local loop. Depending on their medium (copper, fiber optics, or coaxial termination), they allow for the construction of retail offers providing high or very high-speed access. The decisional practice considers that these different wholesale offers are substitutable, in accordance with the position of the Arcep "insofar as the retail offers based on these underlying wholesale offers are very largely similar, both in terms of services available to the end user (Internet, telephony, television) and in terms of pricing." The Arcep further emphasizes in its opinion that "to date, no European regulator has distinguished the broadband market from the very high-speed fixed market, including in countries where the coverage of very high-speed is greater than that of the French market, notably due to a significant presence of the modernized cable network," considering that the operators' choice for their technological mix is determined by an optimization logic leading them to migrate their customers to the most profitable technologies. Activated wholesale offers can be provided by operators owning local loops or by operators who have unbundled lines. In mainland France, certain RIPs, particularly those in which the CDC is involved, offer activated offers based on the unbundling of Orange's copper local loop, or based on their own fiber optic local loop. Vitis, for its part, sources exclusively from operators capable of marketing very high-speed activated offers. In this regard, Vitis is a significant customer of the activated offers marketed by the CDC. In La Réunion, Réunicable offers activated access based on its own network or on fibers co-financed with other operators, notably with Orange. Zeop, which only markets offers built on the basis of fiber optics, sources entirely from Réunicable.</w:t>
      </w:r>
    </w:p>
    <w:p>
      <w:r>
        <w:t>2. THE RETAIL MARKETS FOR INTERNET ACCESS</w:t>
      </w:r>
    </w:p>
    <w:p>
      <w:r>
        <w:t>Within Internet access, the decisional practice distinguishes between the market for the provision of Internet access and the market for the distribution of Internet access.</w:t>
      </w:r>
    </w:p>
    <w:p>
      <w:r>
        <w:t>a) The markets for the provision of Internet access</w:t>
      </w:r>
    </w:p>
    <w:p>
      <w:r>
        <w:t>According to the decisional practice of the competition authorities, it is necessary to distinguish between the market for the provision of low-speed Internet access (via the switched telephone network) and the market for the provision of high-speed and very high-speed Internet access (via cable, ADSL, and fiber technologies). Furthermore, the markets for the provision of Internet access can be segmented according to the type of customer, distinguishing between the residential customer base, referred to as "residential," and the business customer base, referred to as "non-residential." The market for the provision of high-speed Internet access for residential customers includes all high-speed services, namely, in addition to Internet access, telephony services and television. These services are generally offered as part of a multi-service offer, or "multiple play," leading operators to route telephony and television services via the Internet (this is referred to as voice and television over IP, for Internet Protocol). These offers are thus referred to as "triple play." A commercial convergence towards offers combining "triple play" and mobile telephony services also leads operators to speak of "quadruple play."</w:t>
      </w:r>
    </w:p>
    <w:p>
      <w:r>
        <w:t>b) The market for the distribution of Internet access</w:t>
      </w:r>
    </w:p>
    <w:p>
      <w:r>
        <w:t>Retail distribution of Internet access targets the distribution to the end customer of Internet access offers through physical and remote distribution channels. According to national decisional practice, the typology of distribution channels for multi-service broadband offers is similar to that of distribution channels for mobile telephony products and services. However, the distribution of multi-service broadband subscription sales among these different distribution channels differs from that of mobile telephony services. Indeed, a significant portion of subscription sales is conducted remotely, with some offers only available online or by phone.</w:t>
      </w:r>
    </w:p>
    <w:p>
      <w:r>
        <w:t>B. GEOGRAPHIC MARKETS</w:t>
      </w:r>
    </w:p>
    <w:p>
      <w:r>
        <w:t>1. WHOLESALE MARKETS FOR ACTIVATED ACCESS OFFERS</w:t>
      </w:r>
    </w:p>
    <w:p>
      <w:r>
        <w:t>In the markets for both passive and activated offers, the Authority considered distinguishing mainland France from each of the DROMs where a public service delegation for the operation of very high-speed networks was present (Martinique, Guyana, and La Réunion): "Geographically, the notifying party considers that this market is of national dimension. However, it emerges from the market test that, even if the market for access to the wired local loop has been considered to be of national dimension in the decisional practice of the ARCEP, it is necessary to take into account local specificities regarding a concentration operation in island markets. Thus, some respondents explain that they can only turn to two providers in the DROMs, namely Orange, whose offers may be unavailable or saturated in parts of the territories concerned, and the DSPs of which the Loret group is the holder. They therefore consider that the offers pertaining to this market constitute a local market. Furthermore, in the DROMs, local operators explain that they conclude access contracts at the level of each department. [...] Only the territories where a DSP operates a high-speed network are concerned by the operation. Thus, the competitive analysis will be conducted respectively in the territory of Martinique, Guyana, and La Réunion. However, the question of the exact delimitation of this market may remain open, with the competitive analysis remaining unchanged, regardless of the hypothesis considered."</w:t>
      </w:r>
    </w:p>
    <w:p>
      <w:r>
        <w:t>The market can be defined as being of national dimension, or by distinguishing on the one hand the discontinuous geographical area resulting from the union of all the RIPs of the CDC, and on the other hand the rest of the national territory, or by considering each area concerned by a CDC DSP as a distinct geographical market.</w:t>
      </w:r>
    </w:p>
    <w:p>
      <w:r>
        <w:rPr>
          <w:b/>
        </w:rPr>
        <w:t>[Pages 7–9]</w:t>
      </w:r>
    </w:p>
    <w:p>
      <w:r>
        <w:t>The question of the exact delineation of the activated offers markets may, however, remain open, as the competitive analysis remains unchanged regardless of the hypothesis considered.</w:t>
      </w:r>
    </w:p>
    <w:p>
      <w:r>
        <w:t>2. RETAIL MARKETS FOR INTERNET ACCESS</w:t>
      </w:r>
    </w:p>
    <w:p>
      <w:r>
        <w:t>a) The markets for the provision of Internet access</w:t>
      </w:r>
    </w:p>
    <w:p>
      <w:r>
        <w:t>Since its opinion No. 10-A-13 of June 14, 2010, the Competition Authority has specified that it is appropriate to distinguish between the metropolitan territory and the DROM, as the competitive conditions are not the same. The Competition Authority has also considered that Internet access offers are specific to each DROM and different from those offered in the metropolitan area, both in terms of pricing and content, and that the competitive structure of this market varies from one DROM to another. There is no need to revisit these delineations in the context of the present operation.</w:t>
      </w:r>
    </w:p>
    <w:p>
      <w:r>
        <w:t>In this case, Vitis is only present in the metropolitan area and Zeop is only present in La Réunion.</w:t>
      </w:r>
    </w:p>
    <w:p>
      <w:r>
        <w:t>b) The market for the distribution of Internet access</w:t>
      </w:r>
    </w:p>
    <w:p>
      <w:r>
        <w:t>Decisional practice generally considers that this market is of national dimension, notably because the offers are provided under identical conditions throughout the French territory and according to a pricing and commercial policy set at the national level, with no room for maneuver for the different distributors. However, in a previous decision, the Competition Authority considered defining a Réunionese market for the distribution of Internet access, highlighting the specificity of the offers in each DROM. Therefore, in this case, a market limited to each DROM and a national market will be considered.</w:t>
      </w:r>
    </w:p>
    <w:p>
      <w:r>
        <w:t>In this case, and similarly to the retail market for the provision of Internet access, Vitis is only present in the metropolitan area and Zeop is only present in La Réunion.</w:t>
      </w:r>
    </w:p>
    <w:p>
      <w:r>
        <w:t>III. Competitive Analysis</w:t>
      </w:r>
    </w:p>
    <w:p>
      <w:r>
        <w:t>The parties are simultaneously active in the markets for the provision of activated offers, as well as in the retail markets for Internet access. The creation of Vitis downstream of the wholesale activities conducted by the CDC, through the RIPs in which it holds controlling stakes, is likely to lead to vertical effects.</w:t>
      </w:r>
    </w:p>
    <w:p>
      <w:r>
        <w:t>A vertical concentration is likely to lead to two types of lock-in: (i) input market lock-in when the integrated company refuses to sell an input to its downstream competitors or provides it at a high price, under unfavorable conditions, or at a degraded quality level, and/or (ii) customer lock-in when the downstream branch of the integrated company refuses to purchase or distribute the products of upstream active producers, thereby reducing their commercial outlets. However, the Authority considers that it is unlikely that a company with a market share of less than 30% in a given market could lock in a downstream or upstream market.</w:t>
      </w:r>
    </w:p>
    <w:p>
      <w:r>
        <w:t>In this case, Vitis's low market shares in the retail market exclude any risk of customer lock-in.</w:t>
      </w:r>
    </w:p>
    <w:p>
      <w:r>
        <w:t>On the other hand, the RIPs may hold strong positions upstream, which could lead to a risk of input lock-in. By adopting a local geographical delineation of the markets, the position of the RIPs would be strengthened.</w:t>
      </w:r>
    </w:p>
    <w:p>
      <w:r>
        <w:t>In the activated offers market, the CDC holds a market share of [20-30]% if the entire national territory is considered as a single geographical market. Conversely, if it is considered that the different RIPs constitute distinct geographical markets, the market shares of the CDC may be locally more significant. However, the parties believe that they remain below 50%. Finally, if one distinguishes between, on the one hand, the discontinuous geographical area resulting from the union of all the RIPs of the CDC, and on the other hand, the rest of the national territory, the market share of the CDC is necessarily between these two extreme situations, above [20-30]%, but below 50%.</w:t>
      </w:r>
    </w:p>
    <w:p>
      <w:r>
        <w:t>By adopting a national approach, the risks of vertical effects can easily be dismissed, as the market share of the CDC remains below 30%.</w:t>
      </w:r>
    </w:p>
    <w:p>
      <w:r>
        <w:t>Regarding the other two geographical delineations examined here, and despite locally significant market shares, competitive risks also remain limited for two main reasons.</w:t>
      </w:r>
    </w:p>
    <w:p>
      <w:r>
        <w:t>First, the accesses marketed by the RIPs are intended for Internet service providers, which include major operators such as Orange, Free, SFR-Numéricâble, or Bouygues Telecom. These players are leading operators who have significant buyer power.</w:t>
      </w:r>
    </w:p>
    <w:p>
      <w:r>
        <w:t>Second, the offers of the RIPs are subject to legislative and regulatory oversight. In particular, Article L. 1425-1, paragraph VI of the General Code of Local Authorities provides that: "Local authorities and their groupings allow access for electronic communications operators to the infrastructures and electronic communications networks mentioned in the first paragraph of I, under objective, transparent, non-discriminatory, and proportionate pricing conditions that guarantee compliance with the principle of free competition in the electronic communications markets as well as the open nature of these infrastructures and networks. In compliance with these principles, these pricing conditions take into account the contribution of public aid in order to reproduce the economic access conditions to infrastructures and electronic communications networks comparable to those established in other areas of the territory in the absence of such aid." In terms of fiber optics, the same article also provides for an intervention by ARCEP: "[...] The local authorities and their groupings mentioned in the first paragraph of I shall communicate to the [ARCEP], at least two months before their entry into force, the pricing conditions for access to their very high-speed fiber optic networks open to the public allowing to serve an end user. [...]. When it considers that the pricing conditions raise difficulties in light of this VI, the Regulatory Authority for Electronic Communications and Posts issues an opinion, which may be made public, inviting the concerned local authority or grouping to modify them." Finally, as invited by the same article of the General Code of Local Authorities, ARCEP adopted guidelines on December 7, 2015, aimed at regulating the prices charged by the RIPs in fiber optics.</w:t>
      </w:r>
    </w:p>
    <w:p>
      <w:r>
        <w:t>Given these elements, the competitive risks related to the vertical relationship between the CDC's RIPs and Vitis can be dismissed.</w:t>
      </w:r>
    </w:p>
    <w:p>
      <w:r>
        <w:t>The operation is therefore not likely to harm competition in the relevant markets.</w:t>
      </w:r>
    </w:p>
    <w:p>
      <w:r>
        <w:rPr>
          <w:b/>
        </w:rPr>
        <w:t>[Pages 10–10]</w:t>
      </w:r>
    </w:p>
    <w:p>
      <w:r>
        <w:t xml:space="preserve">DECIDES  </w:t>
        <w:br/>
        <w:t xml:space="preserve">Single Article: The operation notified under number 18-022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