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https://www.autoritedelaconcurrence.fr/fr/decision-de-controle-des-concentrations/relative-la-creation-dune-entreprise-commune-par-la-0</w:t>
      </w:r>
    </w:p>
    <w:p>
      <w:r>
        <w:t>Pages translated : 5</w:t>
      </w:r>
    </w:p>
    <w:p/>
    <w:p>
      <w:r>
        <w:rPr>
          <w:b/>
        </w:rPr>
        <w:t>[Pages 1–3]</w:t>
      </w:r>
    </w:p>
    <w:p>
      <w:r>
        <w:t xml:space="preserve">FRENCH REPUBLIC  </w:t>
        <w:br/>
        <w:t xml:space="preserve">Decision No. 10-DCC-73 of July 19, 2010  </w:t>
        <w:br/>
        <w:t xml:space="preserve">regarding the creation of a joint venture by the company Guillar Sarl and the company Ed Sas (Carrefour group)  </w:t>
        <w:br/>
        <w:t xml:space="preserve">The Competition Authority,  </w:t>
        <w:br/>
        <w:t xml:space="preserve">Having regard to the notification file sent to the merger service on April 27, 2010, and declared complete on June 14, 2010, concerning the creation of a joint venture named Gaufred by the companies Guillar Sarl and Ed Sas, a subsidiary of the Carrefour group, formalized by a memorandum of understanding dated October 29, 2009;  </w:t>
        <w:br/>
        <w:t xml:space="preserve">Having regard to Book IV of the Commercial Code relating to price and competition freedom,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A. THE COMPANIES CONCERNED  </w:t>
        <w:br/>
        <w:t xml:space="preserve">1. The Carrefour group is active in food-dominant distribution. In France, it operates hypermarkets under the Carrefour and Champion brands and supermarkets under the Champion and Carrefour Market brands. It also operates convenience stores under the Shopi, 8 à huit, Marché plus, Sherpa, Proxi brands, as well as discount stores under the Ed and Dia brands. The company Ed Sas (hereinafter "Ed") is a subsidiary of the Carrefour group. In 2008, the Carrefour group achieved a total worldwide turnover excluding taxes of approximately 87 billion euros, of which approximately 38 billion euros in France.  </w:t>
        <w:br/>
        <w:t xml:space="preserve">2. The company Guillar Sarl (hereinafter "Guillar") is a limited liability company wholly owned by Mr. and Mrs. Gaubert. The company Guillar operates through its subsidiaries several food-dominant businesses under the Ed and Carrefour Market brands located in Ille-Sur-Têt (66), Le Soler (66), and Villeneuve-Les-Béziers (34). In 2008, Mr. and Mrs. Gaubert achieved a total turnover excluding taxes of 53.1 million euros, exclusively in France.  </w:t>
        <w:br/>
        <w:t xml:space="preserve">3. The companies Guillar and Ed committed, according to the memorandum of understanding signed on October 29, 2009, to create a joint venture holding company named Gaufred, to which they will transfer their respective shares in the companies Solerdis and Narbodis, representing the entirety of the capital of these two companies. The company Gaufred will be engaged in managing the shares it holds in the capital of the aforementioned two companies and any new company whose purpose will be to operate stores under the "Ed" or "Dia" brands as a franchisee. The company Gaufred, established as a simplified joint-stock company, will be owned 74% by Guillar and 26% by Ed. The draft articles of association provide that the company will be managed by a president appointed by the partners by a majority of 4/5ths and revocable under the same conditions. The annual budget as well as the essential decisions concerning the management of the company or its subsidiaries must obtain the approval of the partners voting by a majority of 4/5ths, except for those for which the law requires unanimity. It follows from the above that the joint venture Gaufred will be jointly controlled by the companies Guillar and Ed.  </w:t>
        <w:br/>
        <w:t xml:space="preserve">4. Prior to the operation, only the company Solerdis engages in economic activity consisting of operating a food-dominant business of 800 m2 under the "Ed" brand in Le Soler (66). It achieved a turnover of 4.3 million euros in 2008. Its capital is held by Guillar and Ed, respectively at 74% and 26%, and it is jointly controlled by them, the manager of Solerdis being appointed by a majority of the partners holding more than three-quarters of the shares and its powers being limited under the same conditions. Consequently, the operation does not alter the distribution of capital of Solerdis between the companies Guillar and Ed through the company Gaufred on one hand, nor the nature of the control exercised over the company Solerdis on the other hand.  </w:t>
        <w:br/>
        <w:t xml:space="preserve">5. On the other hand, Guillar also contributes 95% of the shares it holds in the capital of the company Narbodis, which has been operating a maxi-discount store under the "Dia" brand located on the outskirts of Narbonne (11) since November 25, 2009, which it exclusively controls prior to the operation.  </w:t>
        <w:br/>
        <w:t xml:space="preserve">6. The creation of the joint venture Gaufred constitutes a concentration within the meaning of Article L. 430-1 of the Commercial Code. Given the turnover figures of the companies concerned, it does not have a community dimension.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  </w:t>
        <w:br/>
        <w:t xml:space="preserve">II. Delimitation of relevant markets  </w:t>
        <w:br/>
        <w:t xml:space="preserve">7. According to the consistent practice of national and community competition authorities, two categories of markets can be delineated in the food-dominant distribution sector. These are, on one hand, the "downstream" markets, of local dimension, which bring together retail businesses and consumers for the sale of consumer goods and, on the other hand, the "upstream" markets for the supply of retail businesses with everyday consumer goods, of national dimension.  </w:t>
        <w:br/>
        <w:t xml:space="preserve">A. DOWNSTREAM DISTRIBUTION MARKETS  </w:t>
        <w:br/>
        <w:t xml:space="preserve">1. SERVICE MARKETS  </w:t>
        <w:br/>
        <w:t xml:space="preserve">8. Regarding the retail sale of everyday consumer goods, competition authorities, both at the community and national levels, have distinguished six categories of commerce using several criteria, including the size of the stores, their sales techniques, their accessibility, the nature of the service provided, and the range of products offered: (i) hypermarkets, (ii) supermarkets, (iii) specialized trade, (iv) small retail businesses, (v) maxi-discounters, (vi) mail order.  </w:t>
        <w:br/>
        <w:t xml:space="preserve">9. Hypermarkets are usually defined as stores with a food-dominant area of 2,500 m2 or more. Supermarkets are usually defined as having a sales area of less than 2,500 m2 and more than 400 m2. However, it should be noted that these thresholds should be used with caution and may be adapted to the specific case, considering that stores whose area is near a threshold, either below or above, may be in direct competition in practice.  </w:t>
        <w:br/>
        <w:t xml:space="preserve">10. In this case, the point of sale operated by Narbodis under the "Dia" brand is a maxi-discounter with a sales area of 935 m2.  </w:t>
        <w:br/>
        <w:t xml:space="preserve">2. GEOGRAPHICAL DELIMITATION  </w:t>
        <w:br/>
        <w:t xml:space="preserve">11. In its recent decisions concerning operations involving hypermarkets or supermarkets, the Competition Authority has recalled that depending on the size of the stores concerned, the conditions of competition should be assessed in two different areas:  </w:t>
        <w:br/>
        <w:t xml:space="preserve">- a first area where the demand from consumers in one area meets the supply of hypermarkets to which they have access within 30 minutes of driving and which are, from their point of view, substitutable for each other,  </w:t>
        <w:br/>
        <w:t>- a second area where the demand from consumers meets the supply of supermarkets and other equivalent forms of commerce, located within 15 minutes of driving time. These latter forms of commerce may include, in addition to supermarkets, hypermarkets and discount stores.</w:t>
      </w:r>
    </w:p>
    <w:p>
      <w:r>
        <w:rPr>
          <w:b/>
        </w:rPr>
        <w:t>[Pages 4–5]</w:t>
      </w:r>
    </w:p>
    <w:p>
      <w:r>
        <w:t>12. Other criteria may nevertheless be taken into account to assess the impact of a concentration on the competitive situation in retail distribution markets, which may lead to refining, in the specific case, the usual delineations presented above.</w:t>
      </w:r>
    </w:p>
    <w:p>
      <w:r>
        <w:t>13. In the specific case, the competitive analysis will focus solely on the second market, including all hypermarkets, supermarkets, and maxi-discounters located within a 15-minute catchment area around Narbonne.</w:t>
      </w:r>
    </w:p>
    <w:p>
      <w:r>
        <w:t>B. UPSTREAM SUPPLY MARKETS</w:t>
      </w:r>
    </w:p>
    <w:p>
      <w:r>
        <w:t>14. Regarding supply markets, the European Commission has identified the existence of national markets by major product groups, a delineation followed by national authorities.</w:t>
      </w:r>
    </w:p>
    <w:p>
      <w:r>
        <w:t>15. There is no need to challenge this delineation in the context of the present operation.</w:t>
      </w:r>
    </w:p>
    <w:p>
      <w:r>
        <w:t>III. Competitive Analysis</w:t>
      </w:r>
    </w:p>
    <w:p>
      <w:r>
        <w:t>1. DOWNSTREAM FOOD DISTRIBUTION MARKETS</w:t>
      </w:r>
    </w:p>
    <w:p>
      <w:r>
        <w:t>16. In the downstream food distribution market, including hypermarkets, supermarkets, and maxi-discounters within a 15-minute drive around Narbonne, the main distribution groups are present. The Carrefour group holds two hypermarkets, one supermarket, several convenience stores under the "Proxi" brand, and one maxi-discounter under the "Ed" brand, in addition to the "Dia" point of sale, which is the subject of the operation. The stores under the Carrefour group's brands will represent 28% market share after the operation. They will continue to face competition from numerous points of sale operated under the Casino group brands (26%), the ITM Entreprises group (19%), and, to a lesser extent, those under Lidl (8%), Aldi (4%), Système U (4%), and Leclerc (4%).</w:t>
      </w:r>
    </w:p>
    <w:p>
      <w:r>
        <w:t>17. Consequently, the operation is not likely to harm competition in the market considered.</w:t>
      </w:r>
    </w:p>
    <w:p>
      <w:r>
        <w:t>2. UPSTREAM SUPPLY MARKETS</w:t>
      </w:r>
    </w:p>
    <w:p>
      <w:r>
        <w:t>18. Regarding upstream supply markets, the operation, limited to one store, is not likely to significantly strengthen the purchasing power of the Carrefour group, across all products or by major product groups.</w:t>
      </w:r>
    </w:p>
    <w:p>
      <w:r>
        <w:t>DECIDES</w:t>
      </w:r>
    </w:p>
    <w:p>
      <w:r>
        <w:t>Sole Article: The operation notified under number 10-0053 is authorized.</w:t>
      </w:r>
    </w:p>
    <w:p>
      <w:r>
        <w:t xml:space="preserve">The President,  </w:t>
        <w:br/>
        <w:t>Bruno Lasserre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