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https://www.autoritedelaconcurrence.fr/fr/decision-de-controle-des-concentrations/relative-la-creation-dune-entreprise-commune-par-la-2</w:t>
      </w:r>
    </w:p>
    <w:p>
      <w:r>
        <w:t>Pages translated : 13</w:t>
      </w:r>
    </w:p>
    <w:p/>
    <w:p>
      <w:r>
        <w:rPr>
          <w:b/>
        </w:rPr>
        <w:t>[Pages 1–3]</w:t>
      </w:r>
    </w:p>
    <w:p>
      <w:r>
        <w:t xml:space="preserve">FRENCH REPUBLIC  </w:t>
        <w:br/>
        <w:t xml:space="preserve">Decision No. 13-DCC-156 of October 31, 2013  </w:t>
        <w:br/>
        <w:t xml:space="preserve">regarding the creation of a joint venture  </w:t>
        <w:br/>
        <w:t xml:space="preserve">by the company Aviculteurs Associés and the company Groupe Appro  </w:t>
        <w:br/>
        <w:t xml:space="preserve">The Competition Authority,  </w:t>
        <w:br/>
        <w:t xml:space="preserve">Having regard to the notification file sent to the merger service on August 29, 2013, and declared complete on October 17, 2013, regarding the creation of a joint venture by the company Aviculteurs Associés and the company Groupe Appro, formalized by a memorandum of understanding dated February 21, 2013;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Aviculteurs Associés (hereinafter "2A") is a simplified joint-stock company whose share capital is held by twelve shareholders. It follows from the provisions of the company's articles of association that none of these shareholders exercises control over the company individually or jointly1. 2A is engaged in the business of buying and reselling shell eggs. It sources from its shareholders who are egg producers/packers, from the company SARL Avicole de l’Ouest (hereinafter "Avicole de l’Ouest") in which it holds a 25.5% stake in the share capital2, and from third parties. It resells to large and medium-sized retail chains (hereinafter "GMS"), Cash &amp; Carry, and hard discount. It  </w:t>
        <w:br/>
        <w:t xml:space="preserve">1 No shareholder of 2A holds more than 10.3% of the company's capital, and none of them has the ability to exercise veto rights on the strategic decisions of the company. There is no shareholders' agreement.  </w:t>
        <w:br/>
        <w:t>2 Avicole de l’Ouest engages in egg packaging and does not engage in egg production. 2A has not been able to provide the elements to determine whether Avicole de l’Ouest was controlled by 2A. The analysis of the effects of the operation is therefore carried out by including Avicole de l’Ouest in the scope of the 2A group.</w:t>
      </w:r>
    </w:p>
    <w:p>
      <w:r>
        <w:t xml:space="preserve">benefits from an exploitation license for the brand "L’Œuf de nos Villages," which belongs to the Syndicat Professionnel pour la Promotion de l’Œuf (hereinafter "SPPO").  </w:t>
        <w:br/>
        <w:t xml:space="preserve">2. The company Groupe Appro (hereinafter "Groupe Appro") is a public limited company whose share capital is held by nine shareholders3. It follows from the provisions of the company's articles of association and the shareholders' agreement that no shareholder exercises control over the company individually or jointly with other shareholders. Groupe Appro is engaged in the business of buying and reselling eggs. It sources from its shareholders, who are egg producers/packers, as well as from its subsidiary, the company Etablissements Lignier, and resells them to GMS and hard discount retailers. The license for the brand "Lustucru," which it held, ceased on February 28, 2013.  </w:t>
        <w:br/>
        <w:t xml:space="preserve">3. The notified operation consists of the creation of a simplified joint-stock company named ODNV (hereinafter "ODNV") by 2A and Groupe Appro. 2A and Groupe Appro will hold 58% and 42% of the share capital and voting rights of ODNV, respectively. The management of ODNV will be ensured by a management committee composed of eight members, four of whom will be appointed by 2A and four by Groupe Appro. Decisions will be made by a simple majority of the members present or represented, except for decisions relating to the modification, termination, or renewal of contracts binding the company to its suppliers and management lease contracts to which the company is a party, which can only be adopted by a two-thirds majority of the members of the management committee. For decisions adopted by a simple majority, the president's vote will be decisive in the event of a tie. It follows from these elements that 2A and Groupe Appro will jointly control ODNV.  </w:t>
        <w:br/>
        <w:t xml:space="preserve">4. The activities of ODNV will primarily consist of sourcing eggs from egg producers/packers and reselling the eggs to GMS, hard discount, and Cash and Carry retailers. ODNV will source from the current suppliers of 2A and Groupe Appro, which are: (i) egg producers/packers, shareholders of 2A and Groupe Appro, (ii) Avicole de l’Ouest, a company in which 2A holds 25.5% of the share capital, (iii) a subsidiary of Apli, which is 100% owned by Groupe Appro, and (iv) third parties such as Les Fermiers de Saint Vérand. ODNV's sourcing of shell eggs will be based on supply contracts concluded for a renewable period of five years without exclusivity clauses. However, under this contract, suppliers must prioritize supplying ODNV. Suppliers will continue to supply other clients besides ODNV. The notifying parties specify that currently, the packaging centers supplying 2A and Groupe Appro, most of which are shareholders of the notifying parties, generate a significant portion of their turnover from clients other than the notifying parties: 50% for Groupe Appro's suppliers (this percentage varies from 20% to 60% depending on the centers) and 40% for 2A's suppliers (this percentage varies from 1% to 100% depending on the centers). Furthermore, ODNV will have the freedom to source from other producers than those currently supplying 2A and Groupe Appro.  </w:t>
        <w:br/>
        <w:t xml:space="preserve">5. The memorandum of understanding provides that the joint venture will be equipped with technical, financial, and human resources enabling it to operate in the market autonomously and sustainably. 2A and Groupe Appro will grant ODNV a management lease for 5 years, renewable by tacit agreement for an indefinite period, covering their respective business assets in exchange for the payment of a fee. The business assets in  </w:t>
        <w:br/>
        <w:t xml:space="preserve">3 No shareholder of Groupe Appro holds more than 26% of the company's capital, and none of them has the ability to exercise veto rights on the strategic decisions of the company.  </w:t>
        <w:br/>
        <w:t>2</w:t>
      </w:r>
    </w:p>
    <w:p>
      <w:r>
        <w:t xml:space="preserve">management lease will include the clientele and customer base, the non-exclusive right to use the brands necessary for the operation of the business, the right to lease the premises where the business is operated, the equipment and furniture used for the operation of the business, the ongoing contracts and agreements, as well as the personnel assigned to the operation of the business.  </w:t>
        <w:br/>
        <w:t xml:space="preserve">The joint venture will thus have all the assets and activities previously operated by 2A and Groupe Appro in the field of buying and reselling eggs. Following the operation, Groupe Appro will retain a residual activity of production and packaging of shell eggs through the company Etablissements Lignier, owned by the company Apli, of which it holds 100% of the capital, as well as the marketing of egg products, sectors in which ODNV will not intervene. 2A will retain a residual activity of packaging shell eggs through its 25.5% stake in the capital of the company SARL Avicole de l’Ouest. Ultimately, the merger of the companies ODNV, 2A, and Groupe Appro is envisaged4.  </w:t>
        <w:br/>
        <w:t xml:space="preserve">6. It follows from these elements that ODNV will have all the necessary resources to operate independently in a market. The notified operation thus results in the creation of a joint venture intended to sustainably perform all the functions of an autonomous economic entity, and constitutes a concentration within the meaning of Article L. 430-1 of the Commercial Code.  </w:t>
        <w:br/>
        <w:t xml:space="preserve">7. The companies concerned together achieve a total worldwide turnover of more than 150 million euros (2A: 112.6 million euros for the fiscal year ending December 31, 2012; Groupe Appro: 88.9 million euros for the same period). At least two of these companies achieve a turnover in France exceeding 50 million euros (2A: 112.6 million euros for the fiscal year ending December 31, 2012; Groupe Appro: 88.4 million euros for the same period).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A. PRODUCT MARKETS  </w:t>
        <w:br/>
        <w:t xml:space="preserve">8. The activities of 2A and Groupe Appro overlap in the marketing of eggs and egg-based products. Several distinctions have been considered by the competition authorities regarding the different distribution channels, the different categories of  </w:t>
        <w:br/>
        <w:t xml:space="preserve">4 The memorandum of understanding specifies that the notifying parties "sought a formula allowing them to come closer while not imposing on the companies involved in the establishment of the joint subsidiary the financial risk incurred by the other company involved in the operation, in relation to ongoing litigation concerning it." Indeed, "Groupe Appro is currently involved, as a plaintiff and/or defendant, in several commercial litigations with significant financial stakes, notably two main litigations opposing it to Lustucru, on the one hand, and to Sovopa, on the other." 2A, for its part, "is currently involved in a criminal litigation pending before the Court of Cassation concerning the labels of the egg packs it markets." This is why the parties decided to come closer "within a new company, a joint subsidiary of the parties through management lease contracts covering the respective business assets of the parties, until the conclusion of the ongoing litigations." "The parties ultimately envisage implementing a definitive integration operation through the dissolution and liquidation of the companies 2A and Groupe Appro after the transfer to ODNV of the two business assets subject to the management lease contracts."  </w:t>
        <w:br/>
        <w:t>3</w:t>
      </w:r>
    </w:p>
    <w:p>
      <w:r>
        <w:rPr>
          <w:b/>
        </w:rPr>
        <w:t>[Pages 4–6]</w:t>
      </w:r>
    </w:p>
    <w:p>
      <w:r>
        <w:t xml:space="preserve">concerned products or even the commercial positioning of the products distributed in GMS.  </w:t>
        <w:br/>
        <w:t xml:space="preserve">Distinction by distribution channel  </w:t>
        <w:br/>
        <w:t xml:space="preserve">9. Regarding food products, national decision-making practice has considered a segmentation according to the distribution channel, namely the agri-food industry (hereinafter "IAA"), large and medium-sized retail outlets (hereinafter "GMS"), and foodservice (hereinafter "RHF"), as well as sub-segmentations within these categories. Such segmentation is justified by the existence of different needs depending on the type of buyers (notably in terms of volumes, sizing, and packaging).  </w:t>
        <w:br/>
        <w:t xml:space="preserve">10. The market test conducted with competitors and clients of the parties confirmed the relevance of these segmentations. Respondents to the market test notably indicated that the specifications were different as well as the packaging, price, and the mode and duration of contracts.  </w:t>
        <w:br/>
        <w:t xml:space="preserve">11. In this case, the joint venture will be present in the marketing market with major retail chains (GMS, Cash &amp; Carry, and Hard Discount).  </w:t>
        <w:br/>
        <w:t xml:space="preserve">Distinction by type of products  </w:t>
        <w:br/>
        <w:t xml:space="preserve">12. National competition authorities have considered a segmentation of the egg and egg product marketing sector by species (quail, hens, etc.) as well as a segmentation within hen eggs according to the characteristics of the eggs (caged hen eggs, free-range hen eggs, organic hen eggs). They have also considered a segmentation between (i) shell eggs, (ii) egg products, and (iii) processed egg-based products (omelets, peeled hard-boiled eggs, tortillas, whipped egg whites, scrambled eggs, fried eggs, poached eggs, hard-boiled eggs in bars, omelets in cubes or strips).  </w:t>
        <w:br/>
        <w:t xml:space="preserve">13. The market test conducted with competitors and clients of the parties confirmed the relevance of these segmentations.  </w:t>
        <w:br/>
        <w:t xml:space="preserve">14. Firstly, regarding the distinction of eggs based on animal species, it emerges from the responses to the market test that quail eggs are distinct from hen eggs and do not meet the same consumer needs (appetizer for quail eggs, everyday cooking for hen eggs). Their presentation, packaging techniques, farming, and price of these two types of products differ. Furthermore,  </w:t>
        <w:br/>
        <w:t xml:space="preserve">5 See notably C2008-80 / Letter from the Minister of Economy, Industry and Employment dated August 28, 2008, to the advisors of the company Lesieur, regarding a concentration in the sector of manufacturing and marketing cold sauces and the decision of the Competition Authority No. 10-DCC-35 of April 21, 2010, regarding the takeover of the company Saipol by the Sofiprotéol group.  </w:t>
        <w:br/>
        <w:t xml:space="preserve">6 A possible sub-segmentation has been considered between dry egg products and liquid egg products for products intended for the IAA and between shell eggs and processed egg products for products intended for the RHF.  </w:t>
        <w:br/>
        <w:t xml:space="preserve">7 See notably the decisions of the Competition Authority No. 09-DCC-91 of December 24, 2009, regarding the joint takeover of the companies Nutréa, Peigne, UCA, Couvoirs de Cléden, and Univol by the Coopagri Bretagne and Terrena groups and No. 11-DCC-154 of October 24, 2011, regarding the exclusive takeover of the company Financière du Forest, holding of the GAD group, by the Centrale Coopérative Agricole Bretonne.  </w:t>
        <w:br/>
        <w:t xml:space="preserve">8 See the decisions of the Competition Authority No. 09-DCC-91 of December 24, 2009, and No. 11-DCC-154 of October 24, 2011, cited above.  </w:t>
        <w:br/>
        <w:t xml:space="preserve">9 Egg products are foodstuffs composed of the egg in part or in whole, possibly stripped of some of its minor components (carbohydrates, lysozyme) or added with ingredients such as sugar, salt, ascorbic acid (permitted in France), glycerin, preservatives, anticoagulants, foaming agents (in France) and finally marketed in the form of refrigerated, frozen, or dried foodstuffs, having undergone pasteurization. Egg products transition the egg from shell state to processed state, according to very strict hygiene and safety standards.  </w:t>
        <w:br/>
        <w:t xml:space="preserve">10 See notably the decision of the Competition Authority No. 11-DCC-154 of October 24, 2011, cited above.  </w:t>
        <w:br/>
        <w:t xml:space="preserve">clients often source from suppliers other than those providing them with chicken eggs.  </w:t>
        <w:br/>
        <w:t xml:space="preserve">15. Secondly, regarding the distinction between shell eggs, egg products, and processed products, it emerges from the responses to the market test that these different products are not marketed through the same distribution channels; shell eggs are primarily marketed through GMS, while egg products and processed products are mainly marketed through RHF and IAA. Moreover, the uses, prices, packaging, manufacturing, and packaging methods differ. Additionally, not all suppliers offer all these products, and some are solely specialized in shell eggs.  </w:t>
        <w:br/>
        <w:t xml:space="preserve">16. Finally, regarding the distinction within shell eggs, it should be noted that caged hen eggs are the main market segment in GMS, representing 65% of the market in volume and 50% in value in 2012, followed by free-range hen eggs (25% of the market in volume and 32% in value in 2012), organic hen eggs (9% of the market in volume and 17% of the market in value in 2012), and barn eggs (less than 1% of the market in volume and value in 2012). Alternative eggs, which include eggs from free-range hens or organic farming, constitute a growing share of the market and thus generated 34% of sales in volume and 49% of sales in value in 2012.  </w:t>
        <w:br/>
        <w:t xml:space="preserve">17. The respondents to the market test confirmed by a large majority that a distinction should be made between caged hen eggs, barn eggs, free-range hen eggs (which include red label farm eggs, red label eggs, and free-range eggs), and organic hen eggs. Some suppliers do not market certain types of eggs, such as Cocorette, which does not market caged hen eggs, or Cocorette, Matines, and Galline, which do not market barn eggs. Furthermore, the farming conditions for the different types of shell eggs differ, which impacts their price. Each farming method depends on a specific specification that must be respected, in which the cost price is determined. In practice, caged hen eggs are cheaper than free-range hen eggs, which are themselves cheaper than organic hen eggs. Moreover, the packaging is more attractive for so-called alternative hen eggs (free-range and organic hen eggs). Finally, customer expectations differ.  </w:t>
        <w:br/>
        <w:t xml:space="preserve">18. In this case, the joint venture will be present in the market for the marketing of shell hen eggs (including caged hen eggs, barn eggs, free-range hen eggs, and organic hen eggs). It will not be present in the markets for the production/packaging of eggs nor in the market for egg products and processed egg-based products.  </w:t>
        <w:br/>
        <w:t xml:space="preserve">Distinction by commercial positioning of products sold to GMS  </w:t>
        <w:br/>
        <w:t xml:space="preserve">19. In accordance with the decision-making practice regarding other markets for food products, it is appropriate to question a possible segmentation of the markets for the marketing of shell eggs to GMS according to the commercial positioning of the products and to assess whether the supplier holding a significant position in one of these segments would be able to exert market power over distributors or whether this market power would be confronted with competition from suppliers present in other segments.  </w:t>
        <w:br/>
        <w:t xml:space="preserve">20. As has been observed for many other products, the supply modalities of the GMS circuit differ between private labels (MDD) and manufacturer brands (MDF). Indeed, MDD are subject to a specification defined by the buyer (the GMS), which details the expected characteristics of the product. The supplier therefore only intervenes in accordance with the specification and has, unlike MDF suppliers, no role in defining the commercial strategies of these brands (decisions on launching new products, communication policy, etc.). Furthermore, unlike MDF, the identity of the operator supplying a chain with shell eggs sold under MDD remains unknown to the final consumer. Additionally, products sold under MDD are generally subject to tenders, while products sold under MDF are subject to a listing contract within the framework of negotiated agreements where the brand and promotional efforts play an important role.  </w:t>
        <w:br/>
        <w:t xml:space="preserve">21. However, the market power held by a given supplier also depends on factors other than the organization by GMS of their supply. Firstly, if the analysis of the operation concerns exclusively the upstream market of GMS supply, the competitive pressure that MDF and MDD producers may exert on each other is closely influenced by consumer behavior in the downstream markets connecting GMS with customers, and thus by the substitutability, from the consumers' perspective, between the different products. Negotiations between GMS and their suppliers therefore take place in a different competitive context depending on the degree of differentiation of the products in terms of taste, quality, price, or packaging and according to the notoriety of the manufacturers' brands.  </w:t>
        <w:br/>
        <w:t xml:space="preserve">22. Secondly, on the supply side, the fact that the same manufacturers supply GMS with both MDD and their brand products may constitute an indication of the belonging of the two types of products to the same market.  </w:t>
        <w:br/>
        <w:t xml:space="preserve">23. In this case, the notifying party considers that there is no need to segment the market according to the commercial positioning of shell eggs given the relative substitutability of these products in the eyes of consumers. The notifying parties note, in this regard, that when consumer prices rose sharply in 2008 (+13.8%), consumers favored MDD/MPP. Sector studies also highlight the strong competition that exists between MDF and MDD.  </w:t>
        <w:br/>
        <w:t>24. The results of the market test conducted with the clients and competitors of the parties reveal the absence of significant differences in terms of product characteristics (taste, quality) between products sold under MDD and products sold under MDF. Respondents indicate that the farming buildings for MDF are generally the same as for MDD. In contrast, they highlight the relatively significant price gap between MDD and MDF, which is around 15 to 20% (this percentage rises to 20-25% when comparing MDF with MHD and to 25%-30% when comparing MDF with MPP). Aside from price, differentiation between MDD and MDF occurs in packaging and marketing as well as in consumer perception and the attachment they have to a MDF or MDD.</w:t>
      </w:r>
    </w:p>
    <w:p>
      <w:r>
        <w:rPr>
          <w:b/>
        </w:rPr>
        <w:t>[Pages 7–9]</w:t>
      </w:r>
    </w:p>
    <w:p>
      <w:r>
        <w:t xml:space="preserve">25. However, on this last point, the majority of clients and competitors who responded to the market test consider that the brand is not the primary criterion for the final consumer's choice, and that the type of egg (breeding method), the expiration date, and the price come before the brand. Some respondents also emphasize that in the absence of a brand, the final consumer will easily turn to a private label. As a result, there is a significant penetration rate of private labels in this market (around 64% in value and 72% in volume across all brands)14.  </w:t>
        <w:br/>
        <w:t xml:space="preserve">26. Furthermore, it does not appear relevant in this case to make a distinction between private labels, hard discount brands, and first-price brands. The eggs sold under hard discount brands in discount stores are equivalent to private labels in traditional retail chains. While some respondents note that there are differences between hard discount brands, private labels, and first-price brands, particularly in terms of product characteristics (notably size, color) and price, these differences mainly pertain to the type of eggs sold (hard discount brands and first-price brands are often cage or barn eggs).  </w:t>
        <w:br/>
        <w:t xml:space="preserve">27. It emerges from all these elements that the question of segmentation according to the commercial positioning of shell eggs can remain open, insofar as, regardless of the hypothesis considered, the competitive analysis remains unchanged.  </w:t>
        <w:br/>
        <w:t xml:space="preserve">B. THE GEOGRAPHIC MARKET  </w:t>
        <w:br/>
        <w:t xml:space="preserve">28. National competition authorities consider that the markets for the production and marketing of eggs and egg-based products are at least of national dimension. However, they noted that buyers active in this market in France had the possibility to source not only from suppliers based in France but also from other EU member states, although in practice a relatively low percentage of supplies came from other EU countries15. The notifying parties specify in this regard that imports of shell eggs represented only about 7% of household consumption in 2012.  </w:t>
        <w:br/>
        <w:t xml:space="preserve">29. The market test conducted with competitors and clients of the parties confirmed the national dimension of the market.  </w:t>
        <w:br/>
        <w:t xml:space="preserve">30. The effects of the operation on the market for the marketing of eggs will therefore be examined at the national level, the question of the exact delimitation of this market being left open, with the conclusions of the competitive analysis remaining unchanged, regardless of the geographical delimitation retained.  </w:t>
        <w:br/>
        <w:t xml:space="preserve">14 Id.  </w:t>
        <w:br/>
        <w:t xml:space="preserve">15 See in particular the decision of the Minister C2008-80 of August 28, 2008, and the decisions of the Competition Authority No. 09-DCC-91 of December 24, 2009, No. 10-DCC-35 of April 21, 2010, and No. 11-DCC-154 of October 24, 2011 mentioned above.  </w:t>
        <w:br/>
        <w:t xml:space="preserve">III. Competitive Analysis  </w:t>
        <w:br/>
        <w:t xml:space="preserve">A. ANALYSIS OF HORIZONTAL EFFECTS  </w:t>
        <w:br/>
        <w:t xml:space="preserve">31. ODNV will engage in the marketing of eggs to major retail chains (GMS chains, Cash &amp; Carry, and Hard Discount). This marketing will be directed towards the clientele currently associated with 2A and Groupe Appro. ODNV is expected to market a volume of approximately 1.4 billion eggs for a turnover of 170 million euros. The notifying parties estimate that 65% to 70% of the volumes handled by ODNV will be subject to tender procedures (three-quarters of the volumes being composed of private label and first-price products)16.  </w:t>
        <w:br/>
        <w:t xml:space="preserve">32. The market shares of the parties and their competitors calculated for the year 2012 based on the data (in volume and value) provided by the parties and the competitors in the context of the market test on each market segment for the marketing of eggs in GMS are reproduced in the tables below:  </w:t>
        <w:br/>
        <w:t xml:space="preserve">Shell eggs sold to GMS under manufacturer brands and private labels (including first-price and hard discount brands)  </w:t>
        <w:br/>
        <w:t xml:space="preserve">Market shares All Cage Free Range Barn Organic  </w:t>
        <w:br/>
        <w:t xml:space="preserve">Operators value volume value volume value volume value volume value volume  </w:t>
        <w:br/>
        <w:t xml:space="preserve">2A 10-20% 10-20% 10-20% 10-20% 10-20% 10-20% 25-35% 25-35% 10-20% 10-20%  </w:t>
        <w:br/>
        <w:t xml:space="preserve">Appro (with  </w:t>
        <w:br/>
        <w:t xml:space="preserve">10-20% 10-20% 10-20% 10-20% 5-15% 5-15% 5-15% 5-15%  </w:t>
        <w:br/>
        <w:t xml:space="preserve">Lustucru)  </w:t>
        <w:br/>
        <w:t xml:space="preserve">Appro (without  </w:t>
        <w:br/>
        <w:t xml:space="preserve">5-15% 5-15% 10-20% 10-20% 5-15% 5-15% 5-15% 5-15%  </w:t>
        <w:br/>
        <w:t xml:space="preserve">Lustucru)  </w:t>
        <w:br/>
        <w:t xml:space="preserve">2A+Appro  </w:t>
        <w:br/>
        <w:t xml:space="preserve">20-30% 25-35% 25-35% 25-35% 15-25% 20-30% 25-35% 25-35% 15-25% 15-25%  </w:t>
        <w:br/>
        <w:t xml:space="preserve">(with Lustucru)  </w:t>
        <w:br/>
        <w:t xml:space="preserve">2A+Appro (without  </w:t>
        <w:br/>
        <w:t xml:space="preserve">20-30% 20-30% 25-35% 25-35% 15-25% 20-30% 25-35% 25-35% 15-25% 15-25%  </w:t>
        <w:br/>
        <w:t xml:space="preserve">Lustucru)  </w:t>
        <w:br/>
        <w:t xml:space="preserve">Matines 20-30% 20-30% 25-35% 25-35% 15-25% 15-25% 15-25% 15-25%  </w:t>
        <w:br/>
        <w:t xml:space="preserve">Ovalis 15-25% 15-25% 10-20% 10-20% 20-30% 15-25% 15-25% 5-15% 25-35% 20-30%  </w:t>
        <w:br/>
        <w:t xml:space="preserve">CDPO 10-20% 10-20% 10-20% 10-20% 5-15% 10-20% 20-30% 30-40% 5-15% 5-15%  </w:t>
        <w:br/>
        <w:t xml:space="preserve">Cocorette 0-10% 0-10% 10-20% 10-20% 10-20% 10-20%  </w:t>
        <w:br/>
        <w:t xml:space="preserve">Galline 0-10% 0-10% 0-10% 0-10% 0-10% 0-10% 0-10% 0-10%  </w:t>
        <w:br/>
        <w:t xml:space="preserve">Natur'Œuf 0-10% 0-10% 0-10% 0-10% 0-10% 0-10% 20-30% 25-35% 0-10% 0-10%  </w:t>
        <w:br/>
        <w:t xml:space="preserve">16 The procedures for awarding contracts vary depending on the products: annual negotiation by mutual agreement for manufacturer brands ("MDF"), tenders or renegotiation by mutual agreement for private labels ("MDD") and first-price brands ("MPP"), and tenders for hard discount brands ("MHD").  </w:t>
        <w:br/>
        <w:t xml:space="preserve">Shell eggs sold to GMS under private labels (including first-price and hard discount brands)  </w:t>
        <w:br/>
        <w:t xml:space="preserve">Market shares All Cage Free Range Barn Organic  </w:t>
        <w:br/>
        <w:t xml:space="preserve">Operators value volume value volume value volume value volume value volume  </w:t>
        <w:br/>
        <w:t xml:space="preserve">2A 10-20% 10-20% 10-20% 10-20% 10-20% 10-20% 10-20% 5-15%  </w:t>
        <w:br/>
        <w:t xml:space="preserve">Appro 10-20% 10-20% 10-20% 10-20% 5-15% 5-15% 5-15% 0-10%  </w:t>
        <w:br/>
        <w:t xml:space="preserve">2A+Appro 25-35% 25-35% 25-35% 25-35% 20-30% 20-30% 20-30% 15-25%  </w:t>
        <w:br/>
        <w:t xml:space="preserve">Matines 20-30% 20-30% 25-35% 25-35% 20-30% 20-30% 10-20% 10-20%  </w:t>
        <w:br/>
        <w:t xml:space="preserve">Ovalis 15-25% 10-20% 10-20% 10-20% 10-20% 10-20% 25-35% 10-20% 20-30% 15-25%  </w:t>
        <w:br/>
        <w:t xml:space="preserve">CDPO 10-20% 10-20% 10-20% 10-20% 10-20% 10-20% 25-35% 40-50% 5-15% 5-15%  </w:t>
        <w:br/>
        <w:t xml:space="preserve">Cocorette 0-10% 0-10% 10-20% 5-15% 10-20% 10-20%  </w:t>
        <w:br/>
        <w:t xml:space="preserve">Galline 0-10% 5-15% 5-15% 5-15% 0-10% 0-10% 0-10% 0-10%  </w:t>
        <w:br/>
        <w:t xml:space="preserve">Natur'Œuf 0-10% 0-10% 0-10% 0-10% 0-10% 0-10% 35-45% 35-45% 0-10% 0-10%  </w:t>
        <w:br/>
        <w:t xml:space="preserve">Shell eggs sold to GMS under manufacturer brands  </w:t>
        <w:br/>
        <w:t xml:space="preserve">Market shares All Cage Free Range Barn Organic  </w:t>
        <w:br/>
        <w:t xml:space="preserve">Operators value volume value volume value volume value volume value volume  </w:t>
        <w:br/>
        <w:t xml:space="preserve">2A 10-20% 15-25% 10-20% 10-20% 10-20% 10-20% 85-95% 90-100% 5-15% 5-15%  </w:t>
        <w:br/>
        <w:t xml:space="preserve">Appro (with  </w:t>
        <w:br/>
        <w:t xml:space="preserve">5-15% 5-15% 10-20% 15-25% 0-10% 0-10% 0-10% 0-10%  </w:t>
        <w:br/>
        <w:t xml:space="preserve">Lustucru)  </w:t>
        <w:br/>
        <w:t xml:space="preserve">Appro (without  </w:t>
        <w:br/>
        <w:t xml:space="preserve">0-10% 0-10% 0-10% 0-10% 0-10% 0-10% 0-10% 0-10%  </w:t>
        <w:br/>
        <w:t xml:space="preserve">Lustucru)  </w:t>
        <w:br/>
        <w:t xml:space="preserve">2A+Appro  </w:t>
        <w:br/>
        <w:t xml:space="preserve">20-30% 25-35% 25-35% 30-40% 10-20% 15-25% 85-95% 90-100% 5-15% 10-20%  </w:t>
        <w:br/>
        <w:t xml:space="preserve">(with Lustucru)  </w:t>
        <w:br/>
        <w:t xml:space="preserve">2A+Appro (without  </w:t>
        <w:br/>
        <w:t xml:space="preserve">15-25% 20-30% 15-25% 15-25% 10-20% 15-25% 85-95% 90-100% 5-15% 5-15%  </w:t>
        <w:br/>
        <w:t xml:space="preserve">Lustucru)  </w:t>
        <w:br/>
        <w:t xml:space="preserve">Matines 25-35% 25-35% 40-50% 35-45% 5-15% 5-15% 15-25% 15-25%  </w:t>
        <w:br/>
        <w:t xml:space="preserve">Ovalis 25-35% 15-25% 5-15% 5-15% 35-45% 35-45% 35-45% 30-40%  </w:t>
        <w:br/>
        <w:t xml:space="preserve">Cocorette 5-15% 5-15% 15-25% 20-30% 5-15% 10-20%  </w:t>
        <w:br/>
        <w:t xml:space="preserve">CDPO 5-15% 5-15% 10-20% 0-10% 0-10% 0-10% 0-10% 0-10% 5-15% 0-10%  </w:t>
        <w:br/>
        <w:t xml:space="preserve">Galline  </w:t>
        <w:br/>
        <w:t xml:space="preserve">Natur'Œuf 0-10% 0-10% 0-10% 0-10% 0-10% 0-10% 5-15%  </w:t>
        <w:br/>
        <w:t>33. The market shares of Groupe Appro were calculated by including and excluding the volumes sold under the Lustucru brand in 2012, Groupe Appro having ceased to operate this brand since February 2013. By including the volumes sold under the Lustucru brand, the market share of Groupe Appro would be overestimated, but by excluding these volumes, this market share would be underestimated, as Groupe Appro estimates the loss of volumes marketed under the Lustucru brand at 60 million eggs and aims to compensate for this loss following the notified operation by marketing under the brand "L’Œuf de nos Villages" 25% of the share that was marketed under the Lustucru brand in 2012, i.e., 25 million eggs.</w:t>
      </w:r>
    </w:p>
    <w:p>
      <w:r>
        <w:rPr>
          <w:b/>
        </w:rPr>
        <w:t>[Pages 10–12]</w:t>
      </w:r>
    </w:p>
    <w:p>
      <w:r>
        <w:t xml:space="preserve">34. As a preliminary point, it should be noted that the operation does not lead to any increment in market share in the segment of cage-free chicken eggs marketed in GMS, with only 2A marketing cage-free chicken eggs prior to the operation.  </w:t>
        <w:br/>
        <w:t xml:space="preserve">35. It emerges from the tables above that when taking into account the eggs marketed in GMS under MDF and MDD (including MHD and MPP), the position of the parties (excluding Lustucru) and their competitors in each of the market segments (excluding cage-free chicken eggs) will be as follows:  </w:t>
        <w:br/>
        <w:t xml:space="preserve">- in the shell egg segment, all types of eggs combined, the cumulative market share of 2A and Groupe Appro will be [20-30]% in value and volume, equivalent to that held by Matines ([20-30]% in value and volume). The other competitors are Ovalis ([15-25]% in value and volume), followed by CDPO ([10-20]% in value and volume), Cocorette ([0-10]% in value and volume), Galline ([0-10]% in value and volume), and Natur’Œuf ([0-10]% in value and volume).  </w:t>
        <w:br/>
        <w:t xml:space="preserve">- in the cage chicken egg segment, the cumulative market share of 2A and Groupe Appro will be [25-35]% in value and volume, lower than that held by Matines ([25-35]% in value and volume). The other competitors are Ovalis ([10-20]% in value and volume), followed by CDPO ([10-20]% in value and volume), Galline ([0-10]% in value and volume), and Natur’Œuf ([0-10]% in value and volume).  </w:t>
        <w:br/>
        <w:t xml:space="preserve">- in the free-range chicken egg segment, the cumulative market share of 2A and Groupe Appro will be [15-25]% in value and [20-30]% in volume, lower in value but higher in volume than that held by Ovalis ([20-30]% in value and [15-25]% in volume). The other competitors are Matines ([15-25]% in value and volume), followed by CDPO ([5-15]% in value and [10-20]% in volume), Cocorette ([10-20]% in value and volume), Galline ([0-10]% in value and volume), and Natur’Œuf ([0-10]% in value and volume).  </w:t>
        <w:br/>
        <w:t xml:space="preserve">- in the organic chicken egg segment, the cumulative market share of 2A and Groupe Appro will be [15-25]% in value and volume, lower than that held by Ovalis ([25-35]% in value and [20-30]% in volume). The other competitors are Matines ([15-25]% in value and volume), followed by CDPO ([5-15]% in value and volume), Cocorette ([10-20]% in value and volume), Galline ([0-10]% in value and volume), and Natur’Œuf ([0-10]% in value and volume).  </w:t>
        <w:br/>
        <w:t xml:space="preserve">36. Consequently, in each of these market segments, the new entity will have a market share equivalent to or lower than that of its closest competitor, which depending on the market segment is Matines or Ovalis. These two operators are controlled by powerful and diversified groups. Indeed, Ovalis is controlled by the LDC group and Matines by the Glon Sanders and Cecab groups. These operators are present throughout the supply chain, from production to marketing of eggs, and also operate in other animal or plant sectors. In addition to these two operators, there will remain three to four other credible competitors in each market segment, including CDPO, whose market shares are around [10-20]% in each market segment, and Cocorette, which holds strong positions in the alternative egg segments.  </w:t>
        <w:br/>
        <w:t xml:space="preserve">37. When only considering the eggs marketed in GMS under MDD (including MHD and MPP), the market shares of the parties and competitors are significantly equivalent, thus the competitive analysis will remain unchanged.  </w:t>
        <w:br/>
        <w:t xml:space="preserve">38. On the other hand, when only considering the eggs marketed in GMS under MDF, the competitive analysis varies significantly. Indeed, in each of the considered market segments, the market share of the new entity would be less than 25% in value and volume. Moreover, the increment resulting from the operation is relatively low. Finally, there will remain four to five competing operators in each market segment, and the new entity will not be the leader in any of them. It will indeed rank third in the shell egg segment, all types of eggs combined (behind Matines and Ovalis), second in the cage chicken egg segment (behind Matines), third in the free-range chicken egg segment (behind Ovalis and Cocorette), and tied for third in the organic chicken egg segment (with Cocorette, behind Ovalis and Matines). Furthermore, the market for eggs sold in GMS is heavily dominated by MDD: MDD and MPP indeed represent 64% in value and 72% in volume of the market for the marketing of eggs in GMS.  </w:t>
        <w:br/>
        <w:t xml:space="preserve">39. However, regarding MDD purchases, the notifying parties emphasize that the new entity will face powerful buyers with significant financial capabilities and strong negotiating power, allowing them to exert pressure on suppliers' prices. Additionally, GMS chains have alternative sourcing options and can easily switch suppliers. Indeed, contracts are of short duration with recourse to tenders, and GMS chains can threaten to turn to alternative sourcing options in case of price increases. The notifying parties specify in this regard that the volatility of purchases in the MDD segment makes the respective positions of shell egg suppliers to large retail chains under private label fluctuating. They argue that platform allocations as well as prices are never fixed and can be renegotiated multiple times within the same year. For example, the notifying parties indicate that in 2011, Leclerc changed suppliers at the end of January, Intermarché in April, Casino in June, and Auchan several times throughout the year. Lidl, for its part, sources weekly. It emerges from all these elements that GMS chains have significant countervailing power that could prevent the new entity from raising its prices.  </w:t>
        <w:br/>
        <w:t xml:space="preserve">40. It emerges from all these elements that the notified operation is not likely to harm competition through horizontal effects.  </w:t>
        <w:br/>
        <w:t xml:space="preserve">B. ANALYSIS OF CONGLOMERATE EFFECTS  </w:t>
        <w:br/>
        <w:t xml:space="preserve">41. A concentration operation is likely to generate conglomerate effects when one of the parent companies is present in a market that has links to a market in which the joint venture is present, and the operation allows leveraging effects between the positions held by the parent company or the joint venture in these markets.  </w:t>
        <w:br/>
        <w:t xml:space="preserve">42. In this case, Groupe Appro markets egg products. These are liquid egg products sold in the traditional bakery aisles of hypermarkets for a volume of 60 million eggs annually. The notifying parties estimate that the size of the market for the marketing of egg products in France is 6 billion eggs in volume. The market share of Groupe Appro is therefore around 1%17. The competitors of Groupe Appro are major operators such as Igreca, Ovoteam, Eurovo, and Geslin.  </w:t>
        <w:br/>
        <w:t xml:space="preserve">43. Given the marginal presence of Groupe Appro in this market, it is unlikely that the notified operation will allow leveraging effects to benefit the joint venture or Groupe Appro in the markets concerned.  </w:t>
        <w:br/>
        <w:t xml:space="preserve">44. It emerges from these elements that the notified operation is not likely to harm competition through conglomerate effects.  </w:t>
        <w:br/>
        <w:t xml:space="preserve">C. ANALYSIS OF VERTICAL EFFECTS  </w:t>
        <w:br/>
        <w:t xml:space="preserve">45. The vertical effects of a concentration operation are studied when the operation brings together actors present at different levels of the value chain. In this case, ODNV will source shell eggs from the parent companies.  </w:t>
        <w:br/>
        <w:t xml:space="preserve">46.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However, the decision-making practice of competition authorities generally dismisses these lock-in risks when the share of the company resulting from the operation in the concerned markets does not exceed 30%.  </w:t>
        <w:br/>
        <w:t xml:space="preserve">47. ODNV will source, to a small extent, from the subsidiaries of the parent companies. Indeed, currently, 2A sources from Avicole de l’Ouest for about 1.5% in value of its supplies. These supplies represent 15% in value of the sales of Avicole de l’Ouest, the rest being made from third parties. Similarly, Groupe Appro sources from the company Etablissements Lignier for about 5% in value of its supplies. These supplies represent 50% in value of the sales of the company Etablissements Lignier, the rest being made from third parties. The same should apply to ODNV.  </w:t>
        <w:br/>
        <w:t xml:space="preserve">48. It emerges from these elements that the operation will not have an impact on ODNV's suppliers (whether they are parent companies or third parties) who will supply ODNV under the same conditions after the operation and will continue to supply other clients besides ODNV. The operation will also not impact ODNV's competitors given the degree of integration of competing operators who are generally present throughout the supply chain from production to marketing, such as LDC or the Glon Group.  </w:t>
        <w:br/>
        <w:t>49. The operation is not likely to lock competitors out of inputs or suppliers out of customers and thus harm competition through vertical effects.</w:t>
      </w:r>
    </w:p>
    <w:p>
      <w:r>
        <w:rPr>
          <w:b/>
        </w:rPr>
        <w:t>[Pages 13–13]</w:t>
      </w:r>
    </w:p>
    <w:p>
      <w:r>
        <w:t xml:space="preserve">D. ANALYSIS OF THE RISK OF COORDINATION OF THE PARENT COMPANIES' BEHAVIOR  </w:t>
        <w:br/>
        <w:t xml:space="preserve">50. 2A and Groupe Appro will only be simultaneously present in the sector of production/packaging of shell eggs with a marginal presence through their respective subsidiaries. The notified operation is therefore not likely to facilitate a coordination of competitive behavior between 2A and Groupe Appro.  </w:t>
        <w:br/>
        <w:t xml:space="preserve">DECIDES  </w:t>
        <w:br/>
        <w:t xml:space="preserve">Sole Article: The operation notified under number 12-123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