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https://www.autoritedelaconcurrence.fr/fr/decision-de-controle-des-concentrations/relative-la-creation-dune-entreprise-commune-par-la-3</w:t>
      </w:r>
    </w:p>
    <w:p>
      <w:r>
        <w:t>Pages translated : 9</w:t>
      </w:r>
    </w:p>
    <w:p/>
    <w:p>
      <w:r>
        <w:rPr>
          <w:b/>
        </w:rPr>
        <w:t>[Pages 1–3]</w:t>
      </w:r>
    </w:p>
    <w:p>
      <w:r>
        <w:t>FRENCH REPUBLIC</w:t>
        <w:br/>
        <w:t>Decision No. 18-DCC-75 of May 17, 2018</w:t>
        <w:br/>
        <w:t>regarding the creation of a joint venture by the company</w:t>
        <w:br/>
        <w:t>Manuloc SA and the company G3S SAS</w:t>
        <w:br/>
        <w:t>The Competition Authority,</w:t>
        <w:br/>
        <w:t>Having regard to the notification file sent to the concentrations service on February 19, 2018, declared complete on April 9, 2018, concerning the joint control of the company Skyloc Holding by the company Manuloc SA and the company G3S SAS, formalized by an agreement dated December 14, 2017;</w:t>
      </w:r>
    </w:p>
    <w:p>
      <w:r>
        <w:t>Having regard to Book IV of the Commercial Code relating to the freedom of prices and competition, and in particular its Articles L. 430-1 to L. 430-7;</w:t>
      </w:r>
    </w:p>
    <w:p>
      <w:r>
        <w:t>Having regard to the supplementary elements transmitted by the parties during the investigation;</w:t>
      </w:r>
    </w:p>
    <w:p>
      <w:r>
        <w:t>Adopts the following decision:</w:t>
        <w:br/>
        <w:t>I. The concerned companies and the operation</w:t>
        <w:br/>
        <w:t>1. The company Manuloc is a joint-stock company belonging to the Manuloc group (hereinafter "Manuloc"), which is ultimately controlled by the Barthélémy family. Manuloc specializes in operational leasing, financing, and maintenance of handling equipment, particularly in the industrial and logistics sectors, and mainly in France where it generates the majority of its revenue. Marginally, Manuloc is active in the supply of airport ground support equipment.</w:t>
      </w:r>
    </w:p>
    <w:p>
      <w:r>
        <w:t>2. The company G3S is a simplified joint-stock company, a subsidiary of the G3S Alyzia group (hereinafter "G3S Alyzia"), which is ultimately controlled by Mr. Serge Sellan. G3S Alyzia is active in the sectors of airport, port, and security services as well as in maintenance and training services. In the airport sector, G3S Alyzia specializes in providing ground handling services through its subsidiary Alyzia1, and providing services to airport managers. G3S Alyzia provides these services mainly in France, at the airports of Paris-Charles de Gaulle (hereinafter "CDG"), Paris-Orly (hereinafter "Orly"), Marseille, Bordeaux, Lyon, Toulouse, and Nantes.</w:t>
      </w:r>
    </w:p>
    <w:p>
      <w:r>
        <w:t>3. The notified operation, formalized by an agreement dated December 14, 2017, and a draft shareholders' agreement, involves the creation of the joint venture Skyloc Holding (hereinafter "Skyloc") by the companies Manuloc and G3S. Skyloc's purpose is the acquisition, financing, leasing, sale, and maintenance of airport ground support equipment, directly or through its subsidiaries, primarily in mainland France.</w:t>
      </w:r>
    </w:p>
    <w:p>
      <w:r>
        <w:t>4. Skyloc will constitute a joint venture performing on a lasting basis all the functions of an autonomous economic entity.</w:t>
      </w:r>
    </w:p>
    <w:p>
      <w:r>
        <w:t>5. Following the operation, the companies Manuloc and G3S will hold 70% and 30% of Skyloc's capital, respectively. The shareholders' agreement provides that Skyloc will be managed by a management board, which will consist of three members appointed by the general assembly voting by a majority of the partners representing three-quarters of the share capital, including two members elected from candidates proposed by the company Manuloc and one member elected from candidates proposed by the company G3S. The strategic decisions of Skyloc will be subject to a simple majority of the management board of the company, including the favorable vote of the member elected on the proposal of the company G3S. These strategic decisions include, in particular, the adoption and modification of the financing plan established over five years, the appointment of a delegate for daily management, as well as the appointment and dismissal of the commercial director and the operations director.</w:t>
      </w:r>
    </w:p>
    <w:p>
      <w:r>
        <w:t>6. In addition, Skyloc will employ a management staff dedicated to its daily activities. Under Article 6 of the shareholders' agreement, "the Parties acknowledge that their common intention is for [Skyloc] to ultimately own the Airport Equipment leased from [G3S Alyzia], or to be the holder of the leasing contract in the case of financing the Airport Equipment through leasing." It will therefore have sufficient resources.</w:t>
      </w:r>
    </w:p>
    <w:p>
      <w:r>
        <w:t>7. Furthermore, Skyloc will be responsible for managing all financing, leasing, sub-leasing, sales, and maintenance projects of airport ground support equipment within its reserved territory, namely mainland France2. Certainly, at the start of Skyloc's activity, a significant part of it will consist of leasing airport ground support equipment to G3S Alyzia, while Manuloc will provide it with technical and financial assistance free of charge. Regarding the relationships between a joint venture and its parents, "the fact that, during a start-up phase only, the joint venture is almost entirely dependent on sales to its parent companies or purchases from them does not normally call into question its character as 'fully operational.' Indeed, this start-up phase may be necessary to establish the joint venture in a given market. However, it should not, in principle, exceed a duration of three years, depending on the specific conditions prevailing in the relevant market."3 In the present case, Skyloc's financing plan includes an increasing share of investment expenditures in activities undertaken with third parties starting from the year 2019, while the free assistance is limited to a period of […] months from the signing of the shareholders' agreement, it being specified that, after this period, Manuloc's assistance will be provided in exchange for remuneration based on a market rate. Skyloc will therefore be able to operate independently in a market.</w:t>
      </w:r>
    </w:p>
    <w:p>
      <w:r>
        <w:t>8. Finally, Skyloc is established for an unlimited duration, except for dissolution.</w:t>
      </w:r>
    </w:p>
    <w:p>
      <w:r>
        <w:t>9. Thus, in that it results in the creation of a joint venture intended to sustainably perform all the functions of an autonomous economic entity, the notified operation constitutes a concentration within the meaning of Article L. 430-1 of the Commercial Code.</w:t>
      </w:r>
    </w:p>
    <w:p>
      <w:r>
        <w:t>10. The concerned companies generate a total worldwide turnover of more than 150 million euros (Manuloc: [&gt;150] million euros for the fiscal year ending December 31, 2016; G3S: [&gt;150] million euros for the same fiscal year). Each of these companies has generated a turnover in France exceeding 50 million euros (Manuloc: [&gt;150] million euros for the fiscal year ending December 31, 2016; G3S: [&gt;150]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II. Delimitation of the relevant markets</w:t>
        <w:br/>
        <w:t>11. The operation does not result in any overlap of activity in the upstream market for the supply of airport ground support equipment, in which Skyloc will be active4. In contrast, since G3S is active in the downstream markets for ground handling services, the operation will be examined in terms of vertical effects.</w:t>
      </w:r>
    </w:p>
    <w:p>
      <w:r>
        <w:t>A. THE MARKET FOR THE SUPPLY OF AIRPORT GROUND SUPPORT EQUIPMENT</w:t>
        <w:br/>
        <w:t>1. THE PRODUCT MARKETS</w:t>
        <w:br/>
        <w:t>12. While leaving the question open, European decisional practice5 has considered a segmentation of the market for the supply of airport ground support equipment based on the type of equipment, distinguishing between (i) airside operational equipment, (ii) baggage handling equipment, and (iii) passenger assistance equipment.</w:t>
      </w:r>
    </w:p>
    <w:p>
      <w:r>
        <w:t>13. The notifying parties believe that such segmentation would be artificial, as all these equipment are systematically used together in the execution of services related to aircraft turnaround.</w:t>
        <w:br/>
        <w:t>4 While Manuloc is currently present in the market for the supply of airport ground support equipment, it will cease all activity in this area after the operation.</w:t>
        <w:br/>
        <w:t>5 See the European Commission decision M.8470, DAAM/InfraVia/FIH/AI of June 6, 2017.</w:t>
      </w:r>
    </w:p>
    <w:p>
      <w:r>
        <w:rPr>
          <w:b/>
        </w:rPr>
        <w:t>[Pages 4–6]</w:t>
      </w:r>
    </w:p>
    <w:p>
      <w:r>
        <w:t>14. The European decisional practice6 has also considered a segmentation based on the marketing method of airport ground support equipment, distinguishing between (i) sale, (ii) financial leasing, and (iii) operational leasing (or rental), while leaving open the question of the exact market delineation.</w:t>
      </w:r>
    </w:p>
    <w:p>
      <w:r>
        <w:t>15. According to the notifying parties, segmentation based on the marketing method does not appear relevant, particularly due to the overwhelmingly predominant share of leasing in the activity of airport ground support equipment suppliers.</w:t>
      </w:r>
    </w:p>
    <w:p>
      <w:r>
        <w:t>16. In the present case, the question of the exact delineation of this market can, however, be left open, as the conclusions of the competitive analysis remain unchanged regardless of the segmentation retained.</w:t>
      </w:r>
    </w:p>
    <w:p>
      <w:r>
        <w:t>2. THE GEOGRAPHICAL MARKETS</w:t>
      </w:r>
    </w:p>
    <w:p>
      <w:r>
        <w:t>17. The European decisional practice7, while leaving the question open, has considered the definition of the geographical market for the supply of airport ground support equipment at the national level, within the EEA, or even in a broader area than the EEA.</w:t>
      </w:r>
    </w:p>
    <w:p>
      <w:r>
        <w:t>18. While not opposing a broader delineation of the geographical market, the notifying parties consider that the geographical market for the supply of airport ground support equipment has a national dimension, particularly due to the presence in France of the main identified competitors of the joint venture.</w:t>
      </w:r>
    </w:p>
    <w:p>
      <w:r>
        <w:t>19. In the present case, the question of the exact delineation of this market can, however, be left open, as the conclusions of the competitive analysis remain unchanged regardless of the hypothesis retained.</w:t>
      </w:r>
    </w:p>
    <w:p>
      <w:r>
        <w:t>B. THE MARKETS FOR GROUND HANDLING SERVICES</w:t>
      </w:r>
    </w:p>
    <w:p>
      <w:r>
        <w:t>1. THE PRODUCT MARKETS</w:t>
      </w:r>
    </w:p>
    <w:p>
      <w:r>
        <w:t>20. Ground handling services encompass all services provided to airlines that are necessary for a commercial aircraft between its arrival at an airport and its departure8, that is, all operations carried out during an aircraft's stopover at an airport relating to the aircraft itself, passengers, and cargo9. These services thus range from passenger and baggage check-in to handling, including aircraft guidance on the ground, aircraft cleaning, and refueling.</w:t>
      </w:r>
    </w:p>
    <w:p>
      <w:r>
        <w:t>21. National and European decisional practice had considered, while leaving the question open, a segmentation of ground handling services according to the classification derived from Directive No. 96/67/EC of October 15, 1996, concerning access to the market for airport ground handling services, and taken up by Article R. 216-1 of the Civil Aviation Code10. This list determines 11 categories of services (which are further subdivided into subcategories): (i) administrative ground assistance and supervision11; (ii) passenger assistance12; (iii) baggage assistance13; (iv) cargo and mail assistance14; (v) airside operational assistance15; (vi) aircraft cleaning and servicing16; (vii) fuel and oil assistance17; (viii) line maintenance assistance18; (ix) air operations assistance and crew administration19; (x) ground transport assistance20; and (xi) catering service assistance21.</w:t>
      </w:r>
    </w:p>
    <w:p>
      <w:r>
        <w:t>22. In subsequent decisions, the European Commission has, however, adopted another segmentation distinguishing two markets within ground handling services22: airside services and landside services. Airside services mainly include passenger, baggage, and airside operational assistance (which includes airside cargo handling). Landside services are essentially composed of cargo handling in the warehouse or landside. The Commission notes that airside services are generally subject to common negotiation, whereas landside cargo handling is negotiated separately with different contract durations. Furthermore, it appears that, unlike landside services, airside services require authorization from the administrative authorities of the airport given the access to runways they involve. Moreover, on the suppliers' side, the various airside services require expertise, personnel, and similar equipment.</w:t>
      </w:r>
    </w:p>
    <w:p>
      <w:r>
        <w:t>23. The Commission has also identified the markets for fuel and oil assistance and the markets for catering service assistance, which constitute distinct markets as they require specific infrastructure and know-how, and are provided by different operators.</w:t>
      </w:r>
    </w:p>
    <w:p>
      <w:r>
        <w:t>24. Furthermore, regardless of the segmentation between airside services and landside services, the markets for ground handling services are segmented into two levels, considering the regulatory obligations imposed on operators in the sector at certain airports23: authorized providers ("first-tier") are solely authorized to contract with airlines and then resort to subcontractors ("second-tier" providers). In the first case, the contract is concluded between the provider and the airline, whereas in the second case, the provider is a service supplier on behalf of the operator and not of the airline24.</w:t>
      </w:r>
    </w:p>
    <w:p>
      <w:r>
        <w:t>25. In the present case, the question of the segmentation of ground handling service markets can be left open, as, regardless of the hypothesis retained, the conclusions of the competitive analysis remain unchanged.</w:t>
      </w:r>
    </w:p>
    <w:p>
      <w:r>
        <w:t>26. G3S Alyzia is active in the following ground handling services: passenger assistance, baggage assistance, air cargo handling both airside and landside, administrative ground assistance and supervision, aircraft cleaning and servicing, and ground transport assistance.</w:t>
      </w:r>
    </w:p>
    <w:p>
      <w:r>
        <w:t>2. THE GEOGRAPHICAL MARKETS</w:t>
      </w:r>
    </w:p>
    <w:p>
      <w:r>
        <w:t>27. European and French decisional practice considers that the geographical markets for ground handling services are limited to the area of each airport25. Thus, the airports of CDG and Orly constitute two distinct geographical markets26.</w:t>
      </w:r>
    </w:p>
    <w:p>
      <w:r>
        <w:t>28. In the present case, there is no need to challenge the geographical delineation of these markets.</w:t>
      </w:r>
    </w:p>
    <w:p>
      <w:r>
        <w:t>29. G3S Alyzia operates ground handling services at the airports of CDG, Orly, Marseille, Bordeaux, Lyon, Toulouse, and Nantes.</w:t>
      </w:r>
    </w:p>
    <w:p>
      <w:r>
        <w:t>23 In accordance with Article R. 216-5 of the Civil Aviation Code, the number of ground handling service providers authorized to operate at the airports of Orly, Roissy, and Nice is limited by ministerial orders. Nevertheless, each authorized provider may resort to subcontractors who do not hold first-tier authorization. In accordance with Article R. 216-14 of the Civil Aviation Code, all authorized providers and their subcontractors must hold an approval issued by the prefectural authority.</w:t>
      </w:r>
    </w:p>
    <w:p>
      <w:r>
        <w:t>24 See the aforementioned letter C2004/132.</w:t>
      </w:r>
    </w:p>
    <w:p>
      <w:r>
        <w:t>25 See in particular the decisions of the Commission IV/M.1124, Maersk Air/LFV Holdings, of July 6, 1998, and COMP/M.2254, Aviapartner/Maersk/Novia, of January 11, 2001, and the aforementioned letter C2004/132.</w:t>
      </w:r>
    </w:p>
    <w:p>
      <w:r>
        <w:t>26 See the letter C2004/132 and the decision of the Authority No. 11-DCC-214 mentioned above.</w:t>
      </w:r>
    </w:p>
    <w:p>
      <w:r>
        <w:rPr>
          <w:b/>
        </w:rPr>
        <w:t>[Pages 7–9]</w:t>
      </w:r>
    </w:p>
    <w:p>
      <w:r>
        <w:t xml:space="preserve">III. Competitive Analysis  </w:t>
        <w:br/>
        <w:t xml:space="preserve">30. A vertical concentration may restrict competition by making access to the markets in which the new entity will be active more difficult, or even potentially driving competitors out or penalizing them by increasing their costs. This lock-in can target downstream markets when the integrated company refuses to sell an input to its downstream competitors (input lock-in), or upstream markets when the downstream branch of the integrated company refuses to purchase products from upstream manufacturers, thereby reducing their commercial outlets (customer access lock-in). However, decisional practice generally considers that a risk of vertical effect can be ruled out as long as the market share of the company resulting from the operation in the relevant markets does not exceed 30%.  </w:t>
        <w:br/>
        <w:t xml:space="preserve">31. In this case, G3S Alyzia is active in the ground handling services markets, which are downstream of the market for the supply of airport ground support equipment, in which Skyloc will be active. It is therefore necessary to examine the risks of input lock-in (A) and customer access lock-in (B) in these markets.  </w:t>
        <w:br/>
        <w:t xml:space="preserve">A. INPUT LOCK-IN  </w:t>
        <w:br/>
        <w:t xml:space="preserve">32. Skyloc could refuse to supply airport ground support equipment to G3S Alyzia's competitors active in the ground handling services markets.  </w:t>
        <w:br/>
        <w:t xml:space="preserve">33. However, according to the notifying parties' estimates, Skyloc's market share in the market for the supply of airport ground support equipment will be less than [5-10]% at the national level, regardless of the segmentation considered. Skyloc will face competition from the two main operators in these markets: TCR ([40-50]% of the overall market) and Aérolima ([40-50]% of the overall market).  </w:t>
        <w:br/>
        <w:t xml:space="preserve">34. Given this limited market share, the risk of input lock-in can be ruled out.  </w:t>
        <w:br/>
        <w:t xml:space="preserve">B. CUSTOMER ACCESS LOCK-IN  </w:t>
        <w:br/>
        <w:t xml:space="preserve">35. G3S Alyzia could refuse to engage with Skyloc's competitors for its needs in airport ground support equipment and, consequently, limit their outlets.  </w:t>
        <w:br/>
        <w:t>36. The notifying parties estimate that, regardless of the segmentation considered, G3S Alyzia's market share in the ground handling services market is below 30%, except for the "first-class" passenger assistance sub-segment at CDG airport, the passenger assistance segment at Montpellier airport, and the baggage assistance segment at Bordeaux airport. In these segments and sub-segment, the market shares of G3S Alyzia and its competitors are as follows:</w:t>
      </w:r>
    </w:p>
    <w:p>
      <w:r>
        <w:t xml:space="preserve">Sub-segment of Passenger Assistance Segment of Passenger Assistance Segment of Baggage Assistance  </w:t>
        <w:br/>
        <w:t xml:space="preserve">"First-Class" at CDG Airport at Montpellier Airport at Bordeaux Airport  </w:t>
        <w:br/>
        <w:t xml:space="preserve">G3S Alyzia [30-40]% [30-40]% [30-40]%  </w:t>
        <w:br/>
        <w:t xml:space="preserve">Air France27 [10-20]% [20-30]% [10-20]%  </w:t>
        <w:br/>
        <w:t xml:space="preserve">Aviapartner - [40-50]% [40-45]%  </w:t>
        <w:br/>
        <w:t xml:space="preserve">City One [5-10]% - -  </w:t>
        <w:br/>
        <w:t xml:space="preserve">GEH [30-40]% - -  </w:t>
        <w:br/>
        <w:t xml:space="preserve">GH Team - - [10-20]%  </w:t>
        <w:br/>
        <w:t xml:space="preserve">37. The notifying parties indicated that after the operation, G3S Alyzia [confidential] and therefore the share of purchases by G3S in the revenue of the companies [confidential] will tend to decrease.  </w:t>
        <w:br/>
        <w:t xml:space="preserve">38. However, the effects of this lock-in scenario are limited by the existence of several credible alternatives available to Skyloc's competitors. In the relevant segments and sub-segment, G3S Alyzia's competitors, such as Aviapartner and GEH, have significant cumulative market shares, ranging from [60-70]% to [70-80]%. Furthermore, in these segments and sub-segment, G3S Alyzia faces competition from Air France, whose market shares presented above do not include its self-handling activities, which also require the provision of airport ground support equipment. Therefore, Skyloc's competitors will have sufficient outlets after the operation.  </w:t>
        <w:br/>
        <w:t xml:space="preserve">39. Consequently, the risk of customer access lock-in can be ruled out.  </w:t>
        <w:br/>
        <w:t xml:space="preserve">C. CONCLUSION  </w:t>
        <w:br/>
        <w:t>40. In light of all these elements, the operation is not likely to harm competition through vertical effects.</w:t>
      </w:r>
    </w:p>
    <w:p>
      <w:r>
        <w:t xml:space="preserve">DECIDES  </w:t>
        <w:br/>
        <w:t xml:space="preserve">Single Article: The operation notified under number 17-286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