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https://www.autoritedelaconcurrence.fr/fr/decision-de-controle-des-concentrations/relative-la-creation-dune-entreprise-commune-par-la-4</w:t>
      </w:r>
    </w:p>
    <w:p>
      <w:r>
        <w:t>Pages translated : 2</w:t>
      </w:r>
    </w:p>
    <w:p/>
    <w:p>
      <w:r>
        <w:rPr>
          <w:b/>
        </w:rPr>
        <w:t>[Pages 1–2]</w:t>
      </w:r>
    </w:p>
    <w:p>
      <w:r>
        <w:t xml:space="preserve">FRENCH REPUBLIC  </w:t>
        <w:br/>
        <w:t xml:space="preserve">Decision No. 19-DCC-08 of January 22, 2019  </w:t>
        <w:br/>
        <w:t xml:space="preserve">regarding the creation of a joint venture by the company  </w:t>
        <w:br/>
        <w:t xml:space="preserve">ITM Entreprises and the Baubeau consortium  </w:t>
        <w:br/>
        <w:t xml:space="preserve">The Competition Authority,  </w:t>
        <w:br/>
        <w:t xml:space="preserve">Having regard to the notification file submitted on November 22, 2018, to the mergers department and declared complete on December 19, 2018, concerning the creation of a joint venture by the company ITM Entreprises and the Baubeau consortium, materialized by the signing of constitutive statutes under a suspensive condition dated December 6,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company ITM Entreprises and the Baubeau consortium of a joint venture, which is to operate an auto center under the brand "Roady" in Rang-du-Fliers (62).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