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https://www.autoritedelaconcurrence.fr/fr/decision-de-controle-des-concentrations/relative-la-creation-dune-entreprise-commune-par-la-caisse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23-DCC-256 of December 29, 2023</w:t>
        <w:br/>
        <w:t>regarding the creation of a joint venture by the Caisse des dépôts et consignations, CDC Habitat, and the company Frey Aménagement et Promotion</w:t>
        <w:br/>
        <w:t>The Competition Authority,</w:t>
        <w:br/>
        <w:t>Having regard to the complete notification file submitted to the mergers department on December 15, 2023, concerning the creation of a joint venture by the Caisse des dépôts et consignations (hereinafter "CDC"), CDC Habitat, and the company Frey Aménagement et Promotion, a subsidiary of the Frey group, formalized by a partnership agreement under suspensive conditions signed on January 30, 2023;</w:t>
        <w:br/>
        <w:t>Having regard to Book IV of the Commercial Code relating to the freedom of prices and competition, and in particular its Articles L. 430-1 to L. 430-7;</w:t>
        <w:br/>
        <w:t>Adopts the following decision:</w:t>
        <w:br/>
        <w:t>1. The notified operation consists of the creation of a simplified joint-stock company, the company "Repenser la ville," by CDC, CDC Habitat, and the company Frey Aménagement et Promotion, a subsidiary of the Frey group. The joint venture will be active in the real estate asset management sector. It constitutes a concentration operation within the meaning of Article L. 430-1 of the Commercial Code. Given the revenues generated by the companies involved,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23-061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