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https://www.autoritedelaconcurrence.fr/fr/decision-de-controle-des-concentrations/relative-la-creation-dune-entreprise-commune-par-la-region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23-DCC-80 of May 9, 2023  </w:t>
        <w:br/>
        <w:t xml:space="preserve">regarding the creation of a joint venture by the  </w:t>
        <w:br/>
        <w:t xml:space="preserve">Grand Est region, the Caisse des dépôts et consignation and  </w:t>
        <w:br/>
        <w:t xml:space="preserve">the BPCE group  </w:t>
        <w:br/>
        <w:t>The Competition Authority,</w:t>
      </w:r>
    </w:p>
    <w:p>
      <w:r>
        <w:t xml:space="preserve">Having regard to the complete notification file sent to the mergers department on April 19, 2023,  </w:t>
        <w:br/>
        <w:t xml:space="preserve">regarding the creation of a joint venture by the Grand Est region, the Caisse des dépôts et  </w:t>
        <w:br/>
        <w:t xml:space="preserve">consignations (hereinafter "CDC") and the Caisse d'épargne et de prévoyance Grand Est  </w:t>
        <w:br/>
        <w:t xml:space="preserve">Europe, an entity of the BPCE group, formalized by the draft statutes of the local mixed economy  </w:t>
        <w:br/>
        <w:t xml:space="preserve">company, Foncière Tourisme Grand Est, on the one hand, and the draft shareholders' agreement  </w:t>
        <w:br/>
        <w:t>concluded between the parties, on the other hand;</w:t>
      </w:r>
    </w:p>
    <w:p>
      <w:r>
        <w:t xml:space="preserve">Having regard to Book IV of the Commercial Code relating to the freedom of prices and  </w:t>
        <w:br/>
        <w:t>competition, and in particular its Articles L. 430-1 to L. 430-7;</w:t>
      </w:r>
    </w:p>
    <w:p>
      <w:r>
        <w:t xml:space="preserve">Adopts the following decision:  </w:t>
        <w:br/>
        <w:t xml:space="preserve">1. The notified operation consists of the creation of a local mixed economy company, Foncière  </w:t>
        <w:br/>
        <w:t xml:space="preserve">Tourisme Grand Est, by the Grand Est region, the CDC, and the BPCE group. The joint company  </w:t>
        <w:br/>
        <w:t xml:space="preserve">will be active in the real estate asset management sector. It constitutes a concentration operation  </w:t>
        <w:br/>
        <w:t xml:space="preserve">within the meaning of Article L. 430-1 of the Commercial Code. Given the turnover generated by  </w:t>
        <w:br/>
        <w:t xml:space="preserve">the companies concerned, the operation does not fall under the jurisdiction of the European Union.  </w:t>
        <w:br/>
        <w:t xml:space="preserve">On the other hand, the control thresholds mentioned in 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23-027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