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https://www.autoritedelaconcurrence.fr/fr/decision-de-controle-des-concentrations/relative-la-creation-dune-entreprise-commune-par-la-societe</w:t>
      </w:r>
    </w:p>
    <w:p>
      <w:r>
        <w:t>Pages translated : 4</w:t>
      </w:r>
    </w:p>
    <w:p/>
    <w:p>
      <w:r>
        <w:rPr>
          <w:b/>
        </w:rPr>
        <w:t>[Pages 1–3]</w:t>
      </w:r>
    </w:p>
    <w:p>
      <w:r>
        <w:t xml:space="preserve">FRENCH REPUBLIC  </w:t>
        <w:br/>
        <w:t xml:space="preserve">Decision No. 10-DCC-43 of May 25, 2010  </w:t>
        <w:br/>
        <w:t xml:space="preserve">regarding the creation of a joint venture by ITM Entreprises and Lugos  </w:t>
        <w:br/>
        <w:t xml:space="preserve">The Competition Authority,  </w:t>
        <w:br/>
        <w:t xml:space="preserve">Having regard to the notification file submitted in full to the concentrations service on April 19, 2010, regarding the creation by ITM Entreprises and Lugos of a joint venture named Aiadis, formalized by a draft of the statutes of the new entity;  </w:t>
        <w:br/>
        <w:t xml:space="preserve">Having regard to Book IV of the Commercial Code relating to price and competition freedom, and in particular its Articles L. 430-1 to L. 430-7;  </w:t>
        <w:br/>
        <w:t xml:space="preserve">Adopts the following decision:  </w:t>
        <w:br/>
        <w:t xml:space="preserve">I. The companies concerned and the operation.  </w:t>
        <w:br/>
        <w:t xml:space="preserve">1. The company ITM Entreprises, 100% controlled by the Société civile des Mousquetaires, itself held by 1,330 natural persons known as "associated members," leads and animates the network of independent merchants known as the "Groupement des Mousquetaires." As a franchisor, ITM Entreprises' main activity is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The ITM Entreprises group achieved a total turnover excluding taxes of [20-30] billion euros during the last closed financial year ending December 31, 2008, of which [15-25] billion was in France.  </w:t>
        <w:br/>
        <w:t xml:space="preserve">2. The capital of the SAS Lugos (hereinafter "Lugos") is held by Mr. and Mrs. X ([&gt;50]%) and the company ITM Entreprises ([&lt;50]%), it being specified that the statutes of the company do not confer any special rights to the latter. Lugos operates, through its subsidiaries, an Intermarché retail outlet located in Trégueux and an adjoining service station. Its total turnover excluding taxes in 2008, the last closed financial year, amounted to 18.9 million euros. It was achieved exclusively in France.  </w:t>
        <w:br/>
        <w:t xml:space="preserve">3. The companies Lugos and ITM Entreprises plan to establish a joint venture that will purchase the business assets of a Vêti retail outlet located in Trégueux, closed in 2009, and transform it into a food distribution business, in order to operate a new maxi discounter retail outlet under the Netto brand. The new company, named Aiadis, formed as an SAS, will be held [majority] by Lugos, [minority] by Mr. and Mrs. X, and [minority] by ITM Entreprises. The latter will hold a preferred share that will grant it, for a period of fifteen years, the ability to block any change of brand, to oppose any transfer of shares, and to compel the majority shareholders to sell the business assets as soon as they operate a similar business under a competing brand. Beyond this fifteen-year period, the statutes grant ITM Entreprises a right of first refusal on any sale of shares for an additional five years. It follows from the above that ITM Entreprises will jointly exercise control of the new company with Lugos.  </w:t>
        <w:br/>
        <w:t xml:space="preserve">4. Furthermore, the new company will be equipped with the necessary means to operate in the market autonomously and sustainably. The new entity will therefore be a fully operational joint venture, and the operation constitutes a concentration within the meaning of Article L.430-1-II of the Commercial Code.  </w:t>
        <w:br/>
        <w:t xml:space="preserve">5. In the case of joint control of a newly created company, the companies concerned are each controlling companies. Given the turnover of the companies concerned, the operation does not have a community dimension. However, the control thresholds related to retail trade mentioned in point II of Article L.430-2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6. According to the consistent practice of national and community competition authorities, two categories of markets can be delineated in the food-dominant distribution sector. These are, on the one hand, "downstream" markets, of a local dimension, which bring together retail companies and consumers for the sale of consumer goods, and, on the other hand, "upstream" markets for supplying retail companies with everyday consumer goods, of a national dimension.  </w:t>
        <w:br/>
        <w:t xml:space="preserve">1 See the guidelines of the Authority regarding concentration control in paragraph 70  </w:t>
        <w:br/>
        <w:t xml:space="preserve">2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 xml:space="preserve">3 Decisions of the Commission in the cases M.1221 Rewe/Meinl of February 3, 1999, M.1684 Carrefour/Promodès of January 25, 2000, and M.2115 Carrefour/GB of September 28, 2000. See also the decision C.2005-98 Carrefour/Penny Market of November 10, 2005.  </w:t>
        <w:br/>
        <w:t xml:space="preserve">A. DOWNSTREAM MARKETS OF DISTRIBUTION  </w:t>
        <w:br/>
        <w:t xml:space="preserve">1. SERVICE MARKETS  </w:t>
        <w:br/>
        <w:t xml:space="preserve">7.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 order sales.  </w:t>
        <w:br/>
        <w:t xml:space="preserve">8. In the case at hand, the store to be created by the company Aiadis, under the Netto brand, will be a discount store with a sales area of 900 m².  </w:t>
        <w:br/>
        <w:t xml:space="preserve">2. GEOGRAPHICAL DELIMITATION  </w:t>
        <w:br/>
        <w:t xml:space="preserve">9. In its recent decisions regarding operations involving food-dominant hypermarkets or supermarkets, the Competition Authority has recalled that depending on the size of the stores concerned, the conditions of competition should be assessed over two different areas:  </w:t>
        <w:br/>
        <w:t xml:space="preserve">- a first area where consumer demand meets the supply of hypermarkets that they can access within 30 minutes of travel by car and which are, from their perspective, substitutable for one another;  </w:t>
        <w:br/>
        <w:t xml:space="preserve">- a second area where consumer demand meets the supply of supermarkets and other equivalent forms of commerce located within 15 minutes of travel time by car. These latter forms of commerce may include, in addition to supermarkets, hypermarkets and discount stores.  </w:t>
        <w:br/>
        <w:t xml:space="preserve">10. Other criteria may nevertheless be taken into account to assess the impact of a concentration on the competitive situation in retail distribution markets, which may lead to refining, in the case at hand, the usual delimitations presented above.  </w:t>
        <w:br/>
        <w:t xml:space="preserve">11. In the case at hand, the only relevant market is the market comprising hypermarkets, supermarkets, and discount stores within a 15-minute travel radius by car around Trégueux.  </w:t>
        <w:br/>
        <w:t xml:space="preserve">B. UPSTREAM SUPPLY MARKETS  </w:t>
        <w:br/>
        <w:t>12. Regarding supply markets, the European Commission has recognized the existence of national dimension markets by major product groups, a delimitation followed by national authorities.</w:t>
      </w:r>
    </w:p>
    <w:p>
      <w:r>
        <w:rPr>
          <w:b/>
        </w:rPr>
        <w:t>[Pages 4–4]</w:t>
      </w:r>
    </w:p>
    <w:p>
      <w:r>
        <w:t xml:space="preserve">13. There is no reason to call into question this delimitation in the context of the present operation.  </w:t>
        <w:br/>
        <w:t xml:space="preserve">III. Competitive Analysis  </w:t>
        <w:br/>
        <w:t xml:space="preserve">1. DOWNSTREAM MARKETS OF FOOD DISTRIBUTION  </w:t>
        <w:br/>
        <w:t xml:space="preserve">14. In the downstream market of food distribution, which includes hypermarkets, supermarkets, and discount stores within a 15-minute driving area around Trégueux, the new Netto store will represent 1.5% of the sales area. Within this same area, all retail outlets operated under the banners of the "Mousquetaires" group (Intermarché, Ecomarché, Netto) will together hold, after the operation, 18.9% of the market share calculated by sales area, of which 3.8% will be for the Intermarché store controlled by Lugos.  </w:t>
        <w:br/>
        <w:t xml:space="preserve">15. Furthermore, in this area, these stores will face significant competition from numerous stores operated under different banners: Leclerc (25.4% market share), Carrefour (22.7%), Casino (15%), Système U (11.9%).  </w:t>
        <w:br/>
        <w:t xml:space="preserve">16. Consequently, the operation is not likely to harm competition in the downstream market of food distribution.  </w:t>
        <w:br/>
        <w:t xml:space="preserve">2. UPSTREAM SUPPLY MARKETS  </w:t>
        <w:br/>
        <w:t xml:space="preserve">17. Regarding the upstream supply markets, the operation, which concerns only one store, is not likely to significantly strengthen the purchasing power of the ITM Entreprises group, across all products as well as by major product groups.  </w:t>
        <w:br/>
        <w:t xml:space="preserve">DECIDES  </w:t>
        <w:br/>
        <w:t xml:space="preserve">Sole Article: The operation notified under number 10-0041 is authorized.  </w:t>
        <w:br/>
        <w:t xml:space="preserve">The President,  </w:t>
        <w:br/>
        <w:t xml:space="preserve">Bruno Lasserre  </w:t>
        <w:br/>
        <w:t xml:space="preserve">Competition Authority  </w:t>
        <w:br/>
        <w:t>7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