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17-DCC-190 of November 14, 2017  </w:t>
        <w:br/>
        <w:t xml:space="preserve">regarding the creation of a joint venture by the Spirit group and  </w:t>
        <w:br/>
        <w:t xml:space="preserve">the Malakoff Médéric group  </w:t>
        <w:br/>
        <w:t xml:space="preserve">The Competition Authority,  </w:t>
        <w:br/>
        <w:t xml:space="preserve">Having regard to the complete notification file submitted to the mergers department on October 20, 2017,  </w:t>
        <w:br/>
        <w:t xml:space="preserve">concerning the creation of a joint venture by the companies Spirit Reim (Spirit group) and  </w:t>
        <w:br/>
        <w:t xml:space="preserve">OPPCI Vivaldi (Malakoff Médéric group), formalized by a letter of commitment dated  </w:t>
        <w:br/>
        <w:t xml:space="preserve">July 28,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of a joint venture, named Esprit Pierre,  </w:t>
        <w:br/>
        <w:t xml:space="preserve">by the companies Spirit Reim and OPPCI Vivaldi.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The markets concerned by the operation are real estate services. These markets are defined  </w:t>
        <w:br/>
        <w:t xml:space="preserve">consistently by the decision-making practice of the Competition Authority.  </w:t>
        <w:br/>
        <w:t xml:space="preserve">3. Regardless of the segmentations retained, the estimated market shares of the parties are  </w:t>
        <w:br/>
        <w:t xml:space="preserve">below 15%.  </w:t>
        <w:br/>
        <w:t xml:space="preserve">4. Considering the elements of the file and in particular in light of point 384 of the guidelines of  </w:t>
        <w:br/>
        <w:t xml:space="preserve">the Competition Authority regarding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17-217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