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https://www.autoritedelaconcurrence.fr/fr/decision-de-controle-des-concentrations/relative-la-creation-dune-entreprise-commune-par-le-1</w:t>
      </w:r>
    </w:p>
    <w:p>
      <w:r>
        <w:t>Pages translated : 8</w:t>
      </w:r>
    </w:p>
    <w:p/>
    <w:p>
      <w:r>
        <w:rPr>
          <w:b/>
        </w:rPr>
        <w:t>[Pages 1–3]</w:t>
      </w:r>
    </w:p>
    <w:p>
      <w:r>
        <w:t xml:space="preserve">FRENCH REPUBLIC  </w:t>
        <w:br/>
        <w:t xml:space="preserve">Decision No. 17-DCC-90 of June 21, 2017  </w:t>
        <w:br/>
        <w:t>regarding the creation of a joint venture by the La Poste group and the Caisse des Dépôts et Consignations</w:t>
      </w:r>
    </w:p>
    <w:p>
      <w:r>
        <w:t xml:space="preserve">The Competition Authority,  </w:t>
        <w:br/>
        <w:t xml:space="preserve">Having regard to the notification file submitted in full to the merger service on May 16, 2017, regarding the creation of a joint venture named Sobre by the La Poste group and the Caisse des Dépôts et Consignations, formalized by a shareholders' agreement dated July 12, 2016;  </w:t>
        <w:br/>
        <w:t xml:space="preserve">Having regard to Book IV of the Commercial Code relating to the freedom of prices and competition, and in particular Articles L. 430-1 to L. 430-7;  </w:t>
        <w:br/>
        <w:t xml:space="preserve">Having regard to the supplementary elements transmitted by the notifying parties during the investigation;  </w:t>
        <w:br/>
        <w:t>Adopts the following decision:</w:t>
      </w:r>
    </w:p>
    <w:p>
      <w:r>
        <w:t xml:space="preserve">I. The concerned companies and the operation  </w:t>
        <w:br/>
        <w:t xml:space="preserve">1. The La Poste group (hereinafter, "La Poste") is a postal service operator organized into five main activities: (i) the Service-Courrier-Colis branch which includes the universal mail service, mail for businesses, and press logistics, (ii) the GeoPost branch which includes express mail service activities, (iii) the La Banque Postale branch which includes banking and insurance activities for individuals, businesses, and local public actors, (iv) the La Poste Network branch which includes the network of post offices, and (v) the Digital branch.  </w:t>
        <w:br/>
        <w:t xml:space="preserve">2. The Caisse des Dépôts et Consignations (hereinafter, "the CDC") is a public institution with a special legal status, governed by Articles L. 518-2 and following of the Monetary and Financial Code, which fulfills missions of general interest, supporting public policies conducted by the State and local authorities, and which carries out activities open to competition. These activities are grouped around four poles: (i) the environment, (ii) real estate through its subsidiaries Société Nationale Immobilière and Icade, (iii) investment and capital investment, and (iv) services. Created by the law of April 28, 1816, the CDC is placed "under the supervision and guarantee of the legislative authority," this mode of governance being intended to ensure the autonomy of this institution which manages private funds requiring special protection.  </w:t>
        <w:br/>
        <w:t xml:space="preserve">3. On July 12, 2016, the notifying parties entered into a partnership to develop, experiment, and market a service offering for the energy optimization of tertiary buildings through a joint venture named Sobre. During an initial experimentation phase, Sobre's activity only concerned approximately 500 buildings belonging exclusively to the La Poste group and the CDC. From July 1, 2017, Sobre's activity will be offered to third parties, so that it will become fully operational (see infra).  </w:t>
        <w:br/>
        <w:t xml:space="preserve">4. La Poste and the CDC hold directly and indirectly (through its subsidiary Poste Immo for La Poste and its indirect subsidiary Egis HB for the CDC), respectively […] % and […] % of the capital and voting rights of Sobre. The statutes provide that the decisions of the partners, particularly those relating to the budget and the appointment and dismissal of the president and the general director, are taken by a qualified majority of two-thirds of the voting rights of the partners present or represented. La Poste and the CDC therefore have the ability to block the collective strategic decisions of the partners. The shareholders' agreement also provides for the establishment of a strategic committee to ensure, in particular, the monitoring of the experimentation and development work of Sobre, to authorize important decisions, such as the validation and modification of budgets, financing plans, and accounts to be approved by the collective of partners, as well as investment expenditures exceeding […] euros. This strategic committee is composed of two members appointed by Poste Immo, two members appointed by the CDC, and one member appointed by Egis HB, totaling two representatives from La Poste and three representatives from the CDC. The decisions of the strategic committee are adopted by a two-thirds majority of the votes cast by the members present or represented, so La Poste and the CDC both hold a blocking minority. La Poste and the CDC therefore have joint control over Sobre.  </w:t>
        <w:br/>
        <w:t xml:space="preserve">5. Sobre will be provided with sufficient resources and means to operate independently in the markets: it will have its own financial resources, dedicated personnel, adequate technological means, as well as a brand, identity, and premises. It will determine its own commercial policy. Furthermore, the activities of Sobre will go beyond a specific function of its parent companies as it will develop, define, and market its energy optimization services for tertiary buildings belonging to its parent companies but also to any other third parties. In this regard, the commercial relationships between Sobre and its parent companies are not likely to undermine its autonomy, as sales of the joint venture to its parent companies are expected to represent approximately […] % of its total sales, following a three-year start-up phase. Finally, Sobre will be designed to operate sustainably, its statutes providing in particular for a period of non-transferability of the shares of the parties until December 31, 2019.  </w:t>
        <w:br/>
        <w:t xml:space="preserve">6. Insofar as it results in the transformation of a joint venture into a fully operational joint venture, the notified operation constitutes a concentration within the meaning of Article L. 430-1 of the Commercial Code.  </w:t>
        <w:br/>
        <w:t>7. The concerned companies together achieve a total turnover excluding taxes on a global scale of more than 150 million euros (La Poste: 23 billion euros for the fiscal year ending December 31, 2015; CDC: […] euros for the same fiscal year). At least two of these companies achieve a turnover in France exceeding 50 million euros (La Poste: […] euros for the fiscal year ending December 31, 2015; CDC: […] euros for the same fiscal year). Given these turnovers, the thresholds provided for in Article 1, paragraph 2, a) and b) of Council Regulation (EC) No. 139/2004 of January 20, 2004 are met. Nevertheless, since the CDC and La Poste achieve more than two-thirds of their European turnover in France, the operation is not of European dimension.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8. The parties are simultaneously active in the markets for management and multi-technical maintenance, including energy optimization services. The CDC is also active in engineering and technical studies services, which may have a connection with the activities of Sobre. Finally, the parties are present in the market for the management of real estate assets for their own account, which presents a vertical link with management and multi-technical maintenance.</w:t>
      </w:r>
    </w:p>
    <w:p>
      <w:r>
        <w:t xml:space="preserve">A. THE MARKETS FOR MANAGEMENT AND MULTI-TECHNICAL MAINTENANCE INCLUDING ENERGY OPTIMIZATION SERVICES  </w:t>
        <w:br/>
        <w:t xml:space="preserve">1. THE SERVICE MARKETS  </w:t>
        <w:br/>
        <w:t xml:space="preserve">9. The decision-making practice of competition authorities has defined the market for energy management services as including consulting activities on reducing energy consumption, implementing energy management systems, as well as assistance in energy supply and in the management and maintenance of equipment related to clients' energy consumption, with the aim of reducing energy consumption1.  </w:t>
        <w:br/>
        <w:t xml:space="preserve">10. The European Commission has also defined the market for multi-technical management and maintenance as encompassing "the maintenance and optimization activities of the performance of all technical installations present at clients who operate buildings and wish to delegate their management. All technical installations include (depending on the building) boilers and climate systems, mechanical installations (piping, boiler-making, machining), electrical networks, and everything related to industrial process tools"2. It considers that it is not necessary to distinguish energy optimization services from other multi-technical management/maintenance services, and that it  </w:t>
        <w:br/>
        <w:t xml:space="preserve">1 See the decisions of the European Commission COMP/M.6020 - ACSF/Hochtief of January 14, 2011, as well as the decisions of the Competition Authority No. 15-DCC-148 of November 12, 2015, regarding the exclusive control of the company Financière Syclef by the company Latour Capital, No. 15-DCC-86 of July 8, 2015, regarding the exclusive control of the company CRAM by the company Dalbia SA, No. 15-DCC-72 of June 18, 2015, regarding the exclusive control of Altergis SAS by Veolia Environnement SA, No. 15-DCC-09 of February 12, 2015, regarding the exclusive control of the company JF Cesbron SAS by the company Dalkia SA, No. 11-DCC-140 of September 23, 2011, regarding the exclusive control by the company Cube Energy SCA of the company Idex groupe SAS.  </w:t>
        <w:br/>
        <w:t>2 Decisions of the European Commission COMP/M.7137 - EDF/Dalkia in France of June 25, 2014, and COMP/M.4180 - GDF/Suez of November 14, 2006.</w:t>
      </w:r>
    </w:p>
    <w:p>
      <w:r>
        <w:rPr>
          <w:b/>
        </w:rPr>
        <w:t>[Pages 4–6]</w:t>
      </w:r>
    </w:p>
    <w:p>
      <w:r>
        <w:t>it is not relevant to make other distinctions (by type of client, buildings, or services)3.</w:t>
      </w:r>
    </w:p>
    <w:p>
      <w:r>
        <w:t>11. However, the question of the exact delineation of these markets can be left open, as the conclusions of the competitive analysis remain unchanged, regardless of the segmentation chosen.</w:t>
      </w:r>
    </w:p>
    <w:p>
      <w:r>
        <w:t>2. THE GEOGRAPHIC MARKETS</w:t>
      </w:r>
    </w:p>
    <w:p>
      <w:r>
        <w:t>12. Competition authorities have considered that these markets have a national delineation4.</w:t>
      </w:r>
    </w:p>
    <w:p>
      <w:r>
        <w:t>B. THE ENGINEERING AND TECHNICAL STUDIES MARKETS</w:t>
      </w:r>
    </w:p>
    <w:p>
      <w:r>
        <w:t>1. THE SERVICE MARKETS</w:t>
      </w:r>
    </w:p>
    <w:p>
      <w:r>
        <w:t>13. Engineering and technical study services correspond to all services throughout the life cycle of a product (R&amp;D, development, engineering and process, realization, operation, and maintenance)5. These services concern numerous economic sectors, such as industry, energy, transport, environment, construction, and public services.</w:t>
      </w:r>
    </w:p>
    <w:p>
      <w:r>
        <w:t>14. Competition authorities, both French6 and European7, have examined several segmentations of this market.</w:t>
      </w:r>
    </w:p>
    <w:p>
      <w:r>
        <w:t>15. They have thus considered defining a market for technology consulting and a market for project management assistance, distinct from other engineering and technical study services8. They have also segmented the engineering services market based on intervention sectors, distinguishing the aerospace, defense, telecommunications, energy, rail, transport, industry, banking, and insurance sectors9. For some of these sectors, such as aerospace, the European Commission10 has considered a sub-segmentation between general technical studies and specialized technical studies.</w:t>
      </w:r>
    </w:p>
    <w:p>
      <w:r>
        <w:t>3 Decision COMP/M.7137 cited above.</w:t>
      </w:r>
    </w:p>
    <w:p>
      <w:r>
        <w:t>4 See the aforementioned decisions.</w:t>
      </w:r>
    </w:p>
    <w:p>
      <w:r>
        <w:t>5 See in particular the letters from the Minister responsible for the economy dated April 29, 2003, to the board of the company Assystem regarding a concentration in the engineering sector and November 27, 2003, to the boards of the company Brime Technologies, regarding a concentration in the consulting and engineering sector, as well as the decisions of the Competition Authority No. 09-DCC-71 of December 8, 2009, regarding the merger of the Coteba group and the Sogreah group, No. 10-DCC-164 of November 18, 2010, regarding the exclusive control of IOSIS Holding by EGIS SA, No. 11-DCC-20 of February 7, 2011, regarding the exclusive control of the APTUS group by the AUSY group, and No. 15-DCC-100 of July 22, 2015, regarding the exclusive control of the company Matis by Akka Technologies and No. 16-DCC-183 of November 25, 2016, regarding the exclusive control of the company Latécoère Services by the ADF group.</w:t>
      </w:r>
    </w:p>
    <w:p>
      <w:r>
        <w:t>6 See the letters from the Minister responsible for the economy dated April 29, 2003, and November 27, 2003, as well as the letters from the Minister responsible for the economy dated October 19, 2007, to the board of the company Akka Technologies and September 10, 2003, to the boards of the company Pininfarina regarding a concentration in the design and automotive engineering sectors.</w:t>
      </w:r>
    </w:p>
    <w:p>
      <w:r>
        <w:t>7 Decision of the European Commission COMP/M.2645 Saab/WM-Data AB/Saab Caran/JV of December 6, 2001.</w:t>
      </w:r>
    </w:p>
    <w:p>
      <w:r>
        <w:t>8 See the letter dated October 19, 2007, cited above.</w:t>
      </w:r>
    </w:p>
    <w:p>
      <w:r>
        <w:t>9 See in particular the letter dated November 27, 2003, and decisions No. 11-DCC-131 and No. 14-DCC-08 cited above.</w:t>
      </w:r>
    </w:p>
    <w:p>
      <w:r>
        <w:t>10 Decision COMP/M.2645 cited above.</w:t>
      </w:r>
    </w:p>
    <w:p>
      <w:r>
        <w:t>16. The question of the exact delineation of these markets can, however, be left open, as the conclusions of the competitive analysis remain unchanged regardless of the segmentation chosen.</w:t>
      </w:r>
    </w:p>
    <w:p>
      <w:r>
        <w:t>2. THE GEOGRAPHIC MARKETS</w:t>
      </w:r>
    </w:p>
    <w:p>
      <w:r>
        <w:t>17. The Authority considers that the engineering and technical studies markets are generally of national dimension11.</w:t>
      </w:r>
    </w:p>
    <w:p>
      <w:r>
        <w:t>18. It has nevertheless also considered that these markets could be of sub-national dimension12, depending on the type of clientele and the missions concerned.</w:t>
      </w:r>
    </w:p>
    <w:p>
      <w:r>
        <w:t>19. In this case, the question of the precise geographic dimension of these markets can be left open, as the conclusions of the competitive analysis remain unchanged regardless of the segmentation chosen.</w:t>
      </w:r>
    </w:p>
    <w:p>
      <w:r>
        <w:t>C. THE REAL ESTATE SECTOR</w:t>
      </w:r>
    </w:p>
    <w:p>
      <w:r>
        <w:t>1. THE SERVICE MARKETS</w:t>
      </w:r>
    </w:p>
    <w:p>
      <w:r>
        <w:t>20. National13 and European14 competition authorities have considered several segmentations in the real estate services sector according to (i) the recipients of the services, with properties intended either for individuals, the buildings concerned being for residential use, or for businesses, the buildings concerned being for commercial or professional use, (ii) the pricing method, between free residential real estate and social or intermediate housing, the latter falling within a specific regulatory framework in which the State plays an important role, both in terms of financial aid and allocation of housing, (iii) the type of activity carried out in the premises (offices, commercial premises, and other activity premises, such as warehouses or hotels), and (iv) the nature of the services or goods offered.</w:t>
      </w:r>
    </w:p>
    <w:p>
      <w:r>
        <w:t>21. For this last segmentation, the following services have been identified:</w:t>
        <w:br/>
        <w:t>- real estate promotion, which includes construction and sale activities of real estate;</w:t>
        <w:br/>
        <w:t>- management of real estate assets for one's own account;</w:t>
      </w:r>
    </w:p>
    <w:p>
      <w:r>
        <w:t>11 Decision No. 10-DCC-164 cited above.</w:t>
      </w:r>
    </w:p>
    <w:p>
      <w:r>
        <w:t>12 Decisions No. 09-DCC-71 and No. 16-DCC-183 cited above.</w:t>
      </w:r>
    </w:p>
    <w:p>
      <w:r>
        <w:t>13 See in particular the decisions of the Competition Authority No. 17-DCC-09 of January 20, 2017, regarding the joint control of a real estate complex by the Caisse des Dépôts et Consignations and the Artea group, No. 16-DCC-84 of June 24, 2016, regarding the exclusive control of the company Foncière de Paris by the company Gecina, No. 16-DCC-12 of January 27, 2016, regarding the exclusive control of the Pitch Promotion group by Altarea Cogedim, No. 15-DCC-156 of December 7, 2015, regarding the joint control of a real estate asset for office use by Sogecap and Prédica, No. 15-DCC-137 of October 13, 2015, regarding the exclusive control of real estate assets by Blackstone Group, No. 14-DCC-103 of July 10, 2014, regarding the exclusive control of SIIC de Paris by Eurosic, No. 14-DCC-46 of April 1, 2014, regarding the joint control of an industrial real estate asset in Moselle by Norges Bank and Prologis, No. 09-DCC-16 of June 22, 2009, regarding the merger between the Caisse d’Épargne and Banque Populaire groups, as well as the letter from the Minister of Economy, Industry and Employment dated August 22, 2008, to the boards of the companies CDC and Eurosic, regarding a concentration in the real estate sector.</w:t>
      </w:r>
    </w:p>
    <w:p>
      <w:r>
        <w:t>14 See the decisions of the European Commission COMP/M.2110 Deutsche Bank/SEI/JV of September 25, 2000, IV/M.2825 Fortis AG SA/Bernheim-Comofi SA of July 9, 2002, and COMP/M.3370 BNP Paribas/ARI of March 9, 2004.</w:t>
      </w:r>
    </w:p>
    <w:p>
      <w:r>
        <w:t>- management of real estate assets on behalf of third parties (institutional investors, mainly banks and insurance companies), which includes consulting and management of real estate portfolios (arbitrage and asset valuation), structuring real estate investment operations, and managing real estate assets and specialized investment vehicles (notably civil real estate companies);</w:t>
        <w:br/>
        <w:t>- property management, which includes the activities of managing buildings on behalf of owners and can be segmented between rental management and co-ownership management;</w:t>
        <w:br/>
        <w:t>- real estate appraisal;</w:t>
        <w:br/>
        <w:t>- real estate consulting;</w:t>
        <w:br/>
        <w:t>- intermediation in real estate transactions, for which intermediation in purchase/sale operations is distinguished from intermediation in rental operations.</w:t>
      </w:r>
    </w:p>
    <w:p>
      <w:r>
        <w:t>22. The question of the exact delineation of these markets can be left open, as the conclusions of the competitive analysis remain unchanged regardless of the segmentation chosen.</w:t>
      </w:r>
    </w:p>
    <w:p>
      <w:r>
        <w:t>2. THE GEOGRAPHIC MARKETS</w:t>
      </w:r>
    </w:p>
    <w:p>
      <w:r>
        <w:t>23. Decision-making practice15 considers that the markets related to the real estate sector are of local dimension, while leaving the question open.</w:t>
      </w:r>
    </w:p>
    <w:p>
      <w:r>
        <w:t>24. However, the analysis has already been conducted at the national level for real estate services aimed at businesses when operations are carried out by groups of national scope following a strategy of territorial coverage.</w:t>
      </w:r>
    </w:p>
    <w:p>
      <w:r>
        <w:t>25. For the Île-de-France region, the Minister of Economy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analysis."16.</w:t>
      </w:r>
    </w:p>
    <w:p>
      <w:r>
        <w:t>26. For other regions, competitive analyses have been conducted at the regional or sub-regional levels.</w:t>
      </w:r>
    </w:p>
    <w:p>
      <w:r>
        <w:t>27. The question of the exact geographic delineation of these markets can, however, be left open, as the conclusions of the competitive analysis remain unchanged regardless of the segmentation chosen.</w:t>
      </w:r>
    </w:p>
    <w:p>
      <w:r>
        <w:t>15 See in particular decisions COMP/M.2825 and No. 09-DCC-16 cited above and the letter from the Minister of Economy, Finance and Industry dated November 25, 2005, to the boards of the company Foncière des Régions regarding a concentration in the real estate sector.</w:t>
      </w:r>
    </w:p>
    <w:p>
      <w:r>
        <w:t>16 See the letter from the Minister of Economy, Finance and Industry dated January 10, 2007, to the board of the Société Nationale Immobilière group, regarding a concentration in the sector of development and management of real estate parks primarily for residential purposes.</w:t>
      </w:r>
    </w:p>
    <w:p>
      <w:r>
        <w:rPr>
          <w:b/>
        </w:rPr>
        <w:t>[Pages 7–8]</w:t>
      </w:r>
    </w:p>
    <w:p>
      <w:r>
        <w:t xml:space="preserve">III. Competitive Analysis  </w:t>
        <w:br/>
        <w:t xml:space="preserve">A. HORIZONTAL EFFECTS  </w:t>
        <w:br/>
        <w:t xml:space="preserve">28. Sobre and CDC, through its subsidiary Egis, will be active in the markets for management and multi-technical maintenance, including energy optimization services.  </w:t>
        <w:br/>
        <w:t xml:space="preserve">29. Regardless of the segmentation chosen, their market shares, both individual and combined, are below [10-20]%.  </w:t>
        <w:br/>
        <w:t xml:space="preserve">30. The parties notably face competition from significant national groups, such as Vinci Energie, EDF/Dalkia, Engie (Cofely), Idex, Bouygues Energies et Services.  </w:t>
        <w:br/>
        <w:t xml:space="preserve">31. Consequently, the operation is not likely to harm competition in the markets for management and multi-technical maintenance through horizontal effects.  </w:t>
        <w:br/>
        <w:t xml:space="preserve">B. VERTICAL EFFECTS  </w:t>
        <w:br/>
        <w:t xml:space="preserve">32.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considers that a risk of vertical effect can be ruled out as long as the market share of the company resulting from the operation in the relevant markets does not exceed 30%.  </w:t>
        <w:br/>
        <w:t xml:space="preserve">33. In this case, the parties are active in the market for the management of real estate assets for their own account and could therefore use the services of Sobre in the market for management and multi-technical management as part of their management activities.  </w:t>
        <w:br/>
        <w:t xml:space="preserve">34. In this case, the combined market shares of the parties represent less than [5-10]% of the national market for the management of real estate assets for their own account. They remain below 25% regardless of the market segmentations considered.  </w:t>
        <w:br/>
        <w:t xml:space="preserve">35. The parties also face numerous competitors, including Foncière des Régions, Gecina, Unibail, Silic France, Generali, and GE Real Estate.  </w:t>
        <w:br/>
        <w:t xml:space="preserve">36. Finally, in the markets for management and multi-technical maintenance, the parties have very limited positions, below [10-20]% (see above).  </w:t>
        <w:br/>
        <w:t xml:space="preserve">37. Consequently, the operation is not likely to harm competition in these markets through vertical effects.  </w:t>
        <w:br/>
        <w:t xml:space="preserve">C. CONGLOMERATE EFFECTS  </w:t>
        <w:br/>
        <w:t xml:space="preserve">38. A concentration has conglomerate effects when the new entity extends or strengthens its presence in several markets whose connectivity may allow it to increase its market power. However, it is unlikely that holding a range of products or a portfolio of products will harm competition in one or more markets if the new entity does not have a strong position in a market from which it can leverage an effect.  </w:t>
        <w:br/>
        <w:t xml:space="preserve">39. In this case, CDC is active in engineering study and technical study services that have connectivity links with the activities of Sobre, as they can be offered to the same clients.  </w:t>
        <w:br/>
        <w:t xml:space="preserve">40. Regardless of the segmentation of the engineering study and technical study markets, CDC's market share is below 25%.  </w:t>
        <w:br/>
        <w:t xml:space="preserve">41. Furthermore, in the markets for management and multi-technical maintenance, the parties have very limited positions, below [10-20]% (see above).  </w:t>
        <w:br/>
        <w:t xml:space="preserve">42. Consequently, the operation is not likely to harm competition in these markets through conglomerate effects.  </w:t>
        <w:br/>
        <w:t xml:space="preserve">DECIDES  </w:t>
        <w:br/>
        <w:t xml:space="preserve">Single Article: The operation notified under number 17-019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