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https://www.autoritedelaconcurrence.fr/fr/decision-de-controle-des-concentrations/relative-la-creation-dune-entreprise-commune-par-le-3</w:t>
      </w:r>
    </w:p>
    <w:p>
      <w:r>
        <w:t>Pages translated : 2</w:t>
      </w:r>
    </w:p>
    <w:p/>
    <w:p>
      <w:r>
        <w:rPr>
          <w:b/>
        </w:rPr>
        <w:t>[Pages 1–2]</w:t>
      </w:r>
    </w:p>
    <w:p>
      <w:r>
        <w:t xml:space="preserve">FRENCH REPUBLIC  </w:t>
        <w:br/>
        <w:t xml:space="preserve">Decision No. 23-DCC-49 of March 9, 2023  </w:t>
        <w:br/>
        <w:t xml:space="preserve">regarding the creation of a joint venture by the Benhamou group and the Carrefour group  </w:t>
        <w:br/>
        <w:t xml:space="preserve">The Competition Authority,  </w:t>
        <w:br/>
        <w:t xml:space="preserve">Having regard to the complete notification file sent to the mergers department on February 20, 2023, concerning the creation of a full-function joint venture by the Benhamou group and the Carrefour group formalized by a memorandum of understanding dated January 26, 2023.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creation of a full-function joint venture by the Benhamou group and the Carrefour group. The newly created company will operate a retail outlet under the Carrefour City brand located in Paris (75). The operation constitutes a concentration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23-036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