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25-DCC-32 of February 12, 2025  </w:t>
        <w:br/>
        <w:t xml:space="preserve">regarding the creation of a joint venture by the BPCE group  </w:t>
        <w:br/>
        <w:t xml:space="preserve">and the company Eurogroup Company  </w:t>
        <w:br/>
        <w:t xml:space="preserve">The Competition Authority,  </w:t>
        <w:br/>
        <w:t xml:space="preserve">Having regard to the complete notification file submitted to the mergers department on January 17, 2025,  </w:t>
        <w:br/>
        <w:t xml:space="preserve">concerning the creation of a joint venture by the BPCE group and the company Eurogroup  </w:t>
        <w:br/>
        <w:t xml:space="preserve">Company formalized by a Term Sheet concluded on January 15,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BPCE group and the company Eurogroup  </w:t>
        <w:br/>
        <w:t xml:space="preserve">Company, of a full-function joint venture that will be active in France, and  </w:t>
        <w:br/>
        <w:t xml:space="preserve">potentially abroad, in the field of consulting services. This operation constitutes  </w:t>
        <w:br/>
        <w:t xml:space="preserve">a 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