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https://www.autoritedelaconcurrence.fr/fr/decision-de-controle-des-concentrations/relative-la-creation-dune-entreprise-commune-par-le-groupe</w:t>
      </w:r>
    </w:p>
    <w:p>
      <w:r>
        <w:t>Pages translated : 2</w:t>
      </w:r>
    </w:p>
    <w:p/>
    <w:p>
      <w:r>
        <w:rPr>
          <w:b/>
        </w:rPr>
        <w:t>[Pages 1–2]</w:t>
      </w:r>
    </w:p>
    <w:p>
      <w:r>
        <w:t xml:space="preserve">FRENCH REPUBLIC  </w:t>
        <w:br/>
        <w:t xml:space="preserve">Decision No. 17-DCC-183 of November 10, 2017  </w:t>
        <w:br/>
        <w:t xml:space="preserve">regarding the creation of a joint venture by the Carrefour group and the Faleschini family  </w:t>
        <w:br/>
        <w:t xml:space="preserve">The Competition Authority,  </w:t>
        <w:br/>
        <w:t xml:space="preserve">Having regard to the complete notification file sent to the mergers department on October 5, 2017, concerning the creation of a joint venture named Falbaule by the Carrefour group and the Faleschini family, formalized by a memorandum of understanding dated September 12,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creation of a joint venture by the Carrefour group and the Faleschini family with a view to establishing a retail business primarily focused on food under the Carrefour City brand located in La Baule-Escoublac (44500).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