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https://www.autoritedelaconcurrence.fr/fr/decision-de-controle-des-concentrations/relative-la-creation-dune-entreprise-commune-par-les-0</w:t>
      </w:r>
    </w:p>
    <w:p>
      <w:r>
        <w:t>Pages translated : 9</w:t>
      </w:r>
    </w:p>
    <w:p/>
    <w:p>
      <w:r>
        <w:rPr>
          <w:b/>
        </w:rPr>
        <w:t>[Pages 1–3]</w:t>
      </w:r>
    </w:p>
    <w:p>
      <w:r>
        <w:t xml:space="preserve">FRENCH REPUBLIC  </w:t>
        <w:br/>
        <w:t xml:space="preserve">Decision No. 10-DCC-147 of November 9, 2010  </w:t>
        <w:br/>
        <w:t>regarding the creation of a joint venture by the companies CNP and Malakoff Médéric</w:t>
      </w:r>
    </w:p>
    <w:p>
      <w:r>
        <w:t xml:space="preserve">The Competition Authority,  </w:t>
        <w:br/>
        <w:t xml:space="preserve">Having regard to the notification file sent to the merger service on June 18, 2010, and declared complete on October 7, 2010, concerning the creation by Malakoff Médéric and CNP of a joint venture, formalized by a memorandum of understanding dated June 29, 2010;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CNP Assurances, a public limited company governed by the Insurance Code (hereinafter "CNP"), is active in the sectors of savings, retirement, and risk prevention, both in individual and collective insurance. It is also involved in the markets of dependency and personal services. CNP is 39.99% owned by the Caisse des Dépôts et Consignations, 35.48% by the holding Sopassure (which is itself 50.1% owned by La Banque Postale and 49.9% by BPCE), and 1.09% by the State. The remaining share of the capital, 23.43%, is held by the public. It follows from this capital distribution as well as the statutes of CNP that it is not controlled exclusively or jointly by any of its shareholders.  </w:t>
        <w:br/>
        <w:t xml:space="preserve">2. Malakoff Médéric is active in the sector of supplementary retirement and fulfills a management mission for retirement organizations. It is also active in the sectors of collective insurance (including health prevention and supplementary retirement) and individual insurance (including health, dependency, funerals, and savings). Malakoff Médéric operates on a joint model, through direct equal representation of companies and insured persons as well as their employer and union organizations in the group governance bodies. The entities constituting the Malakoff Médéric group are either joint or mutual. Consequently, they do not have shareholders but only representatives of employees, workers, or insured persons.  </w:t>
        <w:br/>
        <w:t xml:space="preserve">3. Malakoff Médéric and CNP have committed, according to a memorandum of understanding dated June 29, 2010, to create a joint venture, established in the form of a simplified joint-stock company that will hold 100% of four subsidiaries: an insurance company, two employee savings companies, and an asset management company. The activities transferred by the parent companies to the joint venture consist of the majority of their activities in (i) supplementary retirement through individual and collective capitalization (excluding pay-as-you-go retirement) and (ii) employee savings. Incidentally, the joint venture may distribute, in connection with retirement savings contracts, services related to retirement (dependency and personal services). These offers do not result from contributions to the joint venture but will depend on its future development.  </w:t>
        <w:br/>
        <w:t xml:space="preserve">4. The capital and voting rights of the joint venture will be held 50% by its two parent companies through their subsidiaries (CNP Retraite wholly owned by CNP and MM Epargne Retraite wholly owned by Malakoff Médéric). The parent companies will be represented equally, with five members each, on the supervisory board, decisions being made by a simple majority of the members including at least one member designated by Malakoff Médéric and one member designated by CNP. The management board will consist of four members designated by the supervisory board, each parent company proposing two members. Decisions will be made by a simple majority. In accordance with the protocol concluded by the parties, the company will be equipped with technical, financial, and human resources enabling it to operate in the market sustainably and autonomously. It follows from the preceding developments that the joint venture can be qualified as a fully operational joint venture.  </w:t>
        <w:br/>
        <w:t xml:space="preserve">5. As it results in the creation of a fully operational joint venture, the notified operation constitutes a concentration within the meaning of Article L. 430-1-II of the Commercial Code.  </w:t>
        <w:br/>
        <w:t xml:space="preserve">6. The concerned companies together achieve a total worldwide turnover of more than 150 million euros (CNP: 32.586 billion euros in 2009, to which the turnover of MFPrévoyance should be added, amounting to […] million euros; Malakoff Médéric: 3.365 billion euros). Each achieves, in France, a turnover exceeding 50 million euros (CNP: 26.288 billion euros, to which the turnover of MFPrévoyance should be added, amounting to […] million euros; Malakoff Médéric: 3.365 billion euros). Given that CNP and Malakoff Médéric generate more than two-thirds of their turnover in France, this operation does not have a community dimension. However, the thresholds mentioned in I of Article L. 430-2 of the Commercial Code are exceeded. This operation is therefore subject to the provisions of Article L. 430-3 and following of the Commercial Code relating to economic concentration.  </w:t>
        <w:br/>
        <w:t>1 On the exclusive control of MFPrévoyance by CNP, see the decision of the Competition Authority No. 10-DCC-138 of October 19, 2010.</w:t>
      </w:r>
    </w:p>
    <w:p>
      <w:r>
        <w:t xml:space="preserve">II. Definition of relevant markets  </w:t>
        <w:br/>
        <w:t xml:space="preserve">7. The joint venture will aim to (i) create, manage, and distribute supplementary retirement products through capitalization, either collectively or individually, primarily for companies and their employees, associations and their members, self-employed workers, and retirees; (ii) create, manage, and distribute employee savings products for companies and their employees as well as maintain accounts and custody; ( (iii) distribute services related to retirement (dependency and personal services). However, it is only planned to develop dependency insurance and personal services activities in the medium or long term. As a result, these markets will not be analyzed in the context of the competitive analysis.  </w:t>
        <w:br/>
        <w:t>8. Consequently, this operation entails a consolidation of activities in the personal insurance markets. Furthermore, since Malakoff Médéric and CNP remain active in the reinsurance markets, health insurance (individual and collective), prevention (individual and collective), borrower insurance, and dependency insurance, it will be necessary to take into account the potential risks of coordination between the parent companies in these markets.</w:t>
      </w:r>
    </w:p>
    <w:p>
      <w:r>
        <w:t xml:space="preserve">A. DEFINITION OF PRODUCT OR SERVICE MARKETS  </w:t>
        <w:br/>
        <w:t xml:space="preserve">9. National and community competition authorities consistently distinguish between reinsurance activities and insurance activities.  </w:t>
        <w:br/>
        <w:t xml:space="preserve">1. REINSURANCE ACTIVITIES  </w:t>
        <w:br/>
        <w:t xml:space="preserve">10. Reinsurance is a particular form of insurance whereby the reinsurer takes on all or part of the risks insured by the primary insurer. This mechanism allows primary insurers to increase the number of insured and to spread risks over time and across a wider geographical area.  </w:t>
        <w:br/>
        <w:t xml:space="preserve">11. National and community competition authorities consider that reinsurance constitutes a distinct market due to the specificity of its object (the distribution of risks among insurers) and the less stringent regulatory constraints on this activity. Finally, property reinsurance has been distinguished from personal reinsurance, and for each, potential further segmentations may be considered based on the different categories of risks covered.  </w:t>
        <w:br/>
        <w:t>12. Nevertheless, for the analysis of the effects of this operation, it is not necessary to precisely define the reinsurance markets because, regardless of the definition adopted, the conclusions of the competitive analysis will not be affected.</w:t>
      </w:r>
    </w:p>
    <w:p>
      <w:r>
        <w:rPr>
          <w:b/>
        </w:rPr>
        <w:t>[Pages 4–6]</w:t>
      </w:r>
    </w:p>
    <w:p>
      <w:r>
        <w:t xml:space="preserve">13. Only Malakoff Médéric and CNP, excluding the joint company, are present in the reinsurance market.  </w:t>
        <w:br/>
        <w:t xml:space="preserve">2. INSURANCE ACTIVITIES  </w:t>
        <w:br/>
        <w:t xml:space="preserve">14. Within the insurance sector, national and community competition authorities consistently distinguish between personal insurance and property and liability insurance, each of which can in turn be segmented into as many markets as there are insurances covering different types of risks, insofar as, from the demand perspective, insurances covering these different risks are not substitutable. Regarding the personal insurance market, an additional segmentation can be made between group insurance contracts, concluded between an insurer and a subscriber distinct from the beneficiary, and individual insurance contracts where the subscriber is also the beneficiary. Similarly, regarding the property and liability insurance market, an additional segmentation can be made between insurances aimed at individuals and insurances aimed at professionals.  </w:t>
        <w:br/>
        <w:t xml:space="preserve">15. In this case, the parties to the transaction are simultaneously active in personal insurance.  </w:t>
        <w:br/>
        <w:t xml:space="preserve">16. The parties have identified the following segments on which the joint company will be present: the market for retirement savings contracts, which includes products allowing beneficiaries to build up a form of supplementary retirement through capitalization vouchers. The parties distinguished between collective retirement savings and individual retirement savings; the market for collective employee savings contracts, which includes products allowing employees of a company to build up tax-exempt savings; the market for individual savings, which includes all financial products offered under optional capital or annuity insurances and life insurance products.  </w:t>
        <w:br/>
        <w:t xml:space="preserve">17. It should be noted that Malakoff Médéric will remain present in the collective retirement savings market and CNP in the individual savings, individual retirement savings, and collective retirement savings markets.  </w:t>
        <w:br/>
        <w:t xml:space="preserve">18. Furthermore, Malakoff Médéric and CNP will remain present in a number of neighboring markets where the joint company will not be present and which they have identified as follows: the market for provident insurance, which includes insurance products designed to cover beneficiaries against an unpredictable loss of income (in the event of death, disability, or incapacity) through a payment in the form of a capital sum or an annuity. The parties distinguished between individual provident insurance and collective provident insurance; the health insurance market, which includes insurance products aimed at providing insured persons with complementary coverage for health expenses. The parties distinguished between collective health insurance and individual health insurance; the borrower insurance market, which is insurance taken out by an individual in connection with a mortgage or consumer credit. It constitutes a temporary insurance that guarantees the repayment of the credit in the event of the occurrence of certain risks related to human life. Borrower insurance generally includes death coverage, total and irreversible loss of autonomy coverage, incapacity/disability coverage, and unemployment coverage; the dependency insurance market, which is a form of personal services. Personal services, which emerged with the development plan of February 16, 2005 (Borloo plan), are not in themselves insurance products but services generally provided at the consumer's home to contribute to well-being in daily life.  </w:t>
        <w:br/>
        <w:t xml:space="preserve">19. In any case, the exact definition of each of the markets examined in this decision can be left open, as the conclusions of the competitive analysis will remain unchanged regardless of the segmentations retained.  </w:t>
        <w:br/>
        <w:t xml:space="preserve">B. DELIMITATION OF GEOGRAPHICAL MARKETS  </w:t>
        <w:br/>
        <w:t xml:space="preserve">20. It follows from decision-making practice that the reinsurance market is of a global dimension, particularly given the need to balance risks at the international level.  </w:t>
        <w:br/>
        <w:t xml:space="preserve">21. Moreover, with the exception of certain insurances covering large-scale risks, insurance markets have been considered to be of a national dimension due to consumer preferences, the existence of national legislation and tax constraints, the current structure of these markets, or regulatory systems.  </w:t>
        <w:br/>
        <w:t xml:space="preserve">22. The creation of the joint company by Malakoff Médéric and CNP results in the pooling of all or part of their portfolios in terms of savings and retirement.  </w:t>
        <w:br/>
        <w:t xml:space="preserve">23. Nevertheless, since the joint venture was established jointly by Malakoff Médéric and CNP, it is necessary to analyze, on the one hand, the effects of the combined activities of Malakoff Médéric and the joint venture, and on the other hand, the effects of the combined activities of CNP and the joint venture. These effects can be of two types: firstly, in the markets where one or both parent companies, as well as the target companies, are present, the accumulation of market shares could give rise to horizontal effects; secondly, the links of connectivity between certain of these markets could give rise to vertical effects.  </w:t>
        <w:br/>
        <w:t xml:space="preserve">24. In a second step, the creation of a joint venture by two independent companies present in the same markets could encourage the emergence of coordinated behavior on their part.  </w:t>
        <w:br/>
        <w:t xml:space="preserve">A. ANALYSIS OF HORIZONTAL EFFECTS  </w:t>
        <w:br/>
        <w:t xml:space="preserve">25. The market shares of the parties in the markets where their activities overlap have been calculated by the parties based on the most recent available data (in value), those of the year 2008, with the exception of the individual provident insurance segment for which the parties only have market data for the year 2009.  </w:t>
        <w:br/>
        <w:t xml:space="preserve">1. THE MARKET FOR COLLECTIVE RETIREMENT SAVINGS  </w:t>
        <w:br/>
        <w:t xml:space="preserve">26. In this market, the market shares of the parties following the transaction will remain limited: [0-5]% for Malakoff Médéric and [10-20]% for CNP. Given the portfolios transferred to the joint company, its market share will be [5-10]%.  </w:t>
        <w:br/>
        <w:t xml:space="preserve">27. It should also be noted that the parties will continue to face numerous competitors such as AGF Vie (17% market share), AG2R La Mondiale (12.5% market share), Axa (11.5% market share), ACM Vie (10% market share), and Cardiff Assurance Vie (6.5% market share).  </w:t>
        <w:br/>
        <w:t xml:space="preserve">2. THE MARKET FOR INDIVIDUAL RETIREMENT SAVINGS  </w:t>
        <w:br/>
        <w:t xml:space="preserve">28. In this market, in which Malakoff Médéric will no longer be present following the transaction, CNP will hold [10-20]% market share. In light of the activities transferred to the joint company, it will hold a marginal market share of less than [0-5]%.  </w:t>
        <w:br/>
        <w:t>29. In addition to this limited position, the parties will continue to face strong competitors such as Predica (35% market share), Sogecap (9% market share), AGF Vie (8.5% market share).</w:t>
      </w:r>
    </w:p>
    <w:p>
      <w:r>
        <w:rPr>
          <w:b/>
        </w:rPr>
        <w:t>[Pages 7–9]</w:t>
      </w:r>
    </w:p>
    <w:p>
      <w:r>
        <w:t xml:space="preserve">of market shares), Axa France (7.5% market share) and Cardif (5% market share).  </w:t>
        <w:br/>
        <w:t xml:space="preserve">3. THE EMPLOYEE SAVINGS MARKET  </w:t>
        <w:br/>
        <w:t xml:space="preserve">30. Following the operation, the joint venture will hold a market share of [0-5]%, with the parent companies no longer present in this market.  </w:t>
        <w:br/>
        <w:t xml:space="preserve">31. In addition to this marginal position, the joint venture will continue to face strong competitors such as Natixis Asset Management (21% market share), the Crédit Agricole group (21% market share), and SG Asset Management (13.5% market share).  </w:t>
        <w:br/>
        <w:t xml:space="preserve">4. THE INDIVIDUAL SAVINGS MARKET  </w:t>
        <w:br/>
        <w:t xml:space="preserve">32. In this market, in which Malakoff Médéric will no longer be present following the operation, CNP will hold [20-30]% market share. Given the portfolio transferred to the joint venture, it will hold a marginal market share of less than [0-5]%.  </w:t>
        <w:br/>
        <w:t xml:space="preserve">33. The parties will also continue to face competition from competitors such as Crédit Agricole (13% market share), Axa (10% market share), BNP Paribas (8% market share), Generali (8% market share), and Crédit Mutuel (7% market share).  </w:t>
        <w:br/>
        <w:t xml:space="preserve">34. In light of the above, the operation is not likely to harm competition in these markets through horizontal effects.  </w:t>
        <w:br/>
        <w:t xml:space="preserve">B. ANALYSIS OF VERTICAL EFFECTS  </w:t>
        <w:br/>
        <w:t xml:space="preserve">35. The joint venture will have its own distribution means. In particular, the CNP Trésor network, the Méderic Conseil network, as well as certain specialized salespeople from the CNP and Malakoff Médéric networks will be assigned to it. In total, the joint venture's own network will ensure [&gt;75%] of the distribution of individual retirement savings and individual savings products and [&gt;50%] of collective retirement savings and employee savings products.  </w:t>
        <w:br/>
        <w:t xml:space="preserve">36. These own distribution means will be supplemented by a commercial agreement with the parent companies providing for [Confidential]. This commercial agreement does not provide for any exclusive distribution relationship benefiting the products of the joint venture. These products will also not benefit from exclusivities in the networks of the parent companies' partners.  </w:t>
        <w:br/>
        <w:t xml:space="preserve">37. In any case, the market shares of the joint venture in the relevant markets are below [30-40]% and it will face competition from powerful operators.  </w:t>
        <w:br/>
        <w:t xml:space="preserve">The operation is therefore not likely to lock these competitors out of access to customers and restrict competition in the relevant markets through vertical effects.  </w:t>
        <w:br/>
        <w:t xml:space="preserve">C. ANALYSIS OF THE RISK OF COORDINATION BETWEEN MALAKOFF MEDERIC AND CNP  </w:t>
        <w:br/>
        <w:t xml:space="preserve">38. In accordance with the decision-making practice of the European Commission, adopted by national competition authorities, the creation of a joint venture is also likely to lead to a risk of coordination between the parent companies when the following three cumulative conditions are met: the risk of coordination must have a direct causal link to the creation of the joint venture; the coordination must be sufficiently likely; the coordination must have a significant effect on competition.  </w:t>
        <w:br/>
        <w:t xml:space="preserve">39. The Competition Council considered, in opinion No. 07-A-09 mentioned above, that such coordination can be more evidently contemplated if the parent companies and the joint subsidiary are present in the same markets, but it cannot be excluded a priori when the parent companies are present in a market distinct from that of their joint subsidiary, as multi-market contact between companies is also likely to facilitate the coordination of their behaviors.  </w:t>
        <w:br/>
        <w:t xml:space="preserve">1. MARKET WHERE BOTH PARENT COMPANIES AND THE TARGET ARE PRESENT  </w:t>
        <w:br/>
        <w:t xml:space="preserve">40. Following the operation, in addition to the joint venture, CNP and Malakoff Médéric will remain present in the collective retirement savings market. However, the accumulation of their market shares does not lead to a modification of the conclusions already drawn above regarding the horizontal effects of the operation.  </w:t>
        <w:br/>
        <w:t xml:space="preserve">41. Therefore, a coordination of behavior between CNP and Malakoff Médéric would not be likely to produce significant effects in the collective retirement savings market.  </w:t>
        <w:br/>
        <w:t xml:space="preserve">2. MARKETS WHERE BOTH PARENT COMPANIES ARE PRESENT BUT NOT THE TARGET  </w:t>
        <w:br/>
        <w:t xml:space="preserve">42. The parent companies will simultaneously remain active in markets adjacent to those concerned by the operation, namely the reinsurance, health insurance (individual and collective), provident insurance (individual and collective), borrower insurance, and dependency insurance markets.  </w:t>
        <w:br/>
        <w:t xml:space="preserve">43. However, given the low or asymmetric market shares of the parent companies in these markets and the limited position of the joint venture in the relevant markets, any potential coordination is not likely.  </w:t>
        <w:br/>
        <w:t xml:space="preserve">DECIDES  </w:t>
        <w:br/>
        <w:t xml:space="preserve">Sole Article: The operation notified under number 10-0073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