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w:t>
      </w:r>
    </w:p>
    <w:p>
      <w:r>
        <w:t>Pages translated : 7</w:t>
      </w:r>
    </w:p>
    <w:p/>
    <w:p>
      <w:r>
        <w:rPr>
          <w:b/>
        </w:rPr>
        <w:t>[Pages 1–3]</w:t>
      </w:r>
    </w:p>
    <w:p>
      <w:r>
        <w:t xml:space="preserve">FRENCH REPUBLIC  </w:t>
        <w:br/>
        <w:t xml:space="preserve">Decision No. 13-DCC-02 of January 7, 2013  </w:t>
        <w:br/>
        <w:t xml:space="preserve">regarding the creation of a joint venture by the companies  </w:t>
        <w:br/>
        <w:t>Routière de l’Est Parisien and Compagnie Maritime Marfret</w:t>
      </w:r>
    </w:p>
    <w:p>
      <w:r>
        <w:t xml:space="preserve">The Competition Authority,  </w:t>
        <w:br/>
        <w:t xml:space="preserve">Having regard to the notification file sent to the merger service on October 29, 2012, and declared complete on November 29, 2012, concerning the creation of a joint venture by the companies Routière de l’Est Parisien and Compagnie Maritime Marfret under a shareholders' agreement dated September 5,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Routière de l’Est Parisien (hereinafter "REP") is a 100% subsidiary of Veolia Propreté, which is itself controlled by Veolia Environnement. REP is active in the waste management sectors by organizing the collection, treatment, and recovery of waste, which also includes sorting and transporting said waste to treatment or recovery centers.  </w:t>
        <w:br/>
        <w:t xml:space="preserve">2. Compagnie Maritime Marfret (hereinafter "Marfret") is a company controlled by Mr. [X]. It is active in the maritime and inland waterway freight transport sector, particularly of recyclable or recycled materials.  </w:t>
        <w:br/>
        <w:t>3. The operation, formalized by a shareholders' agreement dated September 5, 2012, consists of the creation of a simplified joint-stock company named Fluveo, of which REP and Marfret will each hold 50% of the capital and voting rights. The articles of association of Fluveo stipulate that each share carries one voting right and that all collective decisions will be made unanimously. Fluveo will act as a freight forwarder for the inland transport of waste and recyclable or recycled materials, as well as for earth of all kinds and products related to public works and trading activities.</w:t>
      </w:r>
    </w:p>
    <w:p>
      <w:r>
        <w:t xml:space="preserve">4. Fluveo will have all the necessary resources to operate independently in a market, including the structural elements necessary for the functioning of autonomous companies. It will therefore be intended to sustainably perform all the functions of an autonomous economic entity.  </w:t>
        <w:br/>
        <w:t>5. The companies concerned have together achieved a consolidated worldwide turnover, excluding taxes, of more than 150 million euros in the last closed financial year (Veolia Environnement: 29.6 billion euros for the financial year ended December 31, 2011; Marfret: 171 million euros for the same financial year). Each of these companies has achieved, in France, a turnover exceeding 50 million euros (Veolia Environnement: 11.5 billion euros for the financial year ended December 31, 2011; Marfret: […]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THE TRANSPORT OF GOODS  </w:t>
        <w:br/>
        <w:t xml:space="preserve">1. DELIMITATION BY PRODUCTS  </w:t>
        <w:br/>
        <w:t xml:space="preserve">6. French and European decision-making practice has distinguished between (i) air transport, (ii) maritime transport, and (iii) land transport of goods and has retained, while leaving the question open, that a finer segmentation of the land transport market for goods could be considered, depending on whether the transport is carried out by train, by road, by waterway, or by pipeline.  </w:t>
        <w:br/>
        <w:t>7. Within road freight transport, several sub-segmentations have been considered based on (i) the domestic or cross-border nature of the transport, (ii) the type of offers proposed (dedicated transport, full truck transport, transport by batch or groups of batches, and courier services), (iii) the nature of the products transported (transport of hazardous materials, transport of temperature-controlled products), and (iv) the mode of packaging (transport of packaged goods, transport of bulk goods).</w:t>
      </w:r>
    </w:p>
    <w:p>
      <w:r>
        <w:t xml:space="preserve">8. In the present case, Veolia Propreté is active in the road freight transport market and more specifically, in the road transport of waste and recyclable or recycled materials as well as in construction materials. Marfret is primarily active in the inland waterway transport of bulk dry goods in containers.  </w:t>
        <w:br/>
        <w:t xml:space="preserve">9. The parties also consider that there exists a market for combined river-road freight transport, consisting of the transport of maritime containers by inland waterway as an extension of maritime container shipping lines, associated with a pre or post-road transport, or even in the transport of goods from factories or warehouses by road and barge to their destination. According to the parties, combined river-road transport ("TCFR") would be little substitutable for combined rail-road transport ("TCRR") given the fact that, when they resort to it, local authorities impose TCFR for the transport of certain waste over long distances, and due to environmental and price criteria limiting the possibilities of substitution between these different modes of transport.  </w:t>
        <w:br/>
        <w:t>10. In any case, the question of market segmentation can be left open, insofar as, regardless of the hypothesis adopted, the conclusions of the competitive analysis will remain unchanged.</w:t>
      </w:r>
    </w:p>
    <w:p>
      <w:r>
        <w:t xml:space="preserve">2. GEOGRAPHICAL DELIMITATION  </w:t>
        <w:br/>
        <w:t xml:space="preserve">11. French and European decision-making practice has considered that the market for road freight transport and its segmentations generally have a national dimension and are evolving towards a European dimension. Regarding a potential market for inland waterway freight transport and TCFR, the parties consider that the market has at least a regional dimension.  </w:t>
        <w:br/>
        <w:t>12. The question of market segmentation can, however, be left open, insofar as, regardless of the hypothesis adopted, the conclusions of the competitive analysis will remain unchanged.</w:t>
      </w:r>
    </w:p>
    <w:p>
      <w:r>
        <w:t xml:space="preserve">B. TRANSPORT COMMISSIONING  </w:t>
        <w:br/>
        <w:t>13. According to the French and European competition authorities, the activity of transport commissioning or "freight forwarding" is defined as "the organization of the transport of goods (which may include, in addition to the transport itself, various other services, such as customs clearance or warehousing) on behalf of clients according to their needs." Within transport commissioning, the competition authorities have considered a distinction.</w:t>
      </w:r>
    </w:p>
    <w:p>
      <w:r>
        <w:rPr>
          <w:b/>
        </w:rPr>
        <w:t>[Pages 4–6]</w:t>
      </w:r>
    </w:p>
    <w:p>
      <w:r>
        <w:t>finer segmentation of this market according to (i) the mode of transport used, whether by air, sea, or land (including rail and road transport) or according to (ii) the national or international nature of the transport.</w:t>
      </w:r>
    </w:p>
    <w:p>
      <w:r>
        <w:t>14. The European Commission12 considers that the market for transport commissioning has a national geographical dimension, particularly taking into account the existence of linguistic and regulatory barriers, although it does not exclude a broader definition at the level of the European Economic Area.</w:t>
      </w:r>
    </w:p>
    <w:p>
      <w:r>
        <w:t>15. In this case, the question of the geographical delimitation of this market can be left open insofar as the conclusions of the competitive analysis remain unchanged regardless of the hypothesis adopted.</w:t>
      </w:r>
    </w:p>
    <w:p>
      <w:r>
        <w:t>C. WASTE MANAGEMENT</w:t>
        <w:br/>
        <w:t>1. DELIMITATION BY PRODUCTS</w:t>
        <w:br/>
        <w:t>16. The community and French competition authorities consider that there are as many service markets in the cleanliness sector as there are major types of waste (ordinary waste, special industrial waste, waste subject to specific regulation)13.</w:t>
      </w:r>
    </w:p>
    <w:p>
      <w:r>
        <w:t>17. In this case, Veolia Propreté is active in the management of ordinary waste. This refers to household or similar waste, that is to say, those that municipalities can collect and treat without specific technical constraints.</w:t>
      </w:r>
    </w:p>
    <w:p>
      <w:r>
        <w:t>18. The management of ordinary waste includes several services (collection, treatment, recovery), which constitute several relevant markets14.</w:t>
      </w:r>
    </w:p>
    <w:p>
      <w:r>
        <w:t>19. The collection of ordinary waste can be further segmented between the collection of household waste ("DMA") and the collection of ordinary industrial and commercial waste ("DIB"). The Commission has also considered segmenting the treatment of ordinary waste according to the type of treatment (incineration, landfill, sorting)15.</w:t>
      </w:r>
    </w:p>
    <w:p>
      <w:r>
        <w:t>20. Finally, regarding the recovery of waste, the minister has had the opportunity to segment the recovery of ordinary waste into as many markets as there are types of materials to be recovered16.</w:t>
      </w:r>
    </w:p>
    <w:p>
      <w:r>
        <w:t>2. GEOGRAPHICAL DELIMITATION</w:t>
        <w:br/>
        <w:t>21. European decision-making practice considers that the markets for the collection of ordinary waste are of national dimension. The markets for the treatment and recovery of ordinary waste, on the other hand, have a local dimension.</w:t>
      </w:r>
    </w:p>
    <w:p>
      <w:r>
        <w:t>12 See in particular the decisions of the Commission COMP/M.4045, COMP/M.5480 and COMP/M.5877 cited above and the decision of the Authority 09-DCC-40 cited above.</w:t>
      </w:r>
    </w:p>
    <w:p>
      <w:r>
        <w:t>13 Decisions No. IV/M.916 Lyonnaise des Eaux/Suez and No. IV/M.1059 Suez Lyonnaise des Eaux/BFI, letter No. C2007-168 from the minister dated January 23, 2008 to the councils of Veolia Propreté.</w:t>
      </w:r>
    </w:p>
    <w:p>
      <w:r>
        <w:t>14 Decision of the commission COMP/4318, Veolia/Cleanway and letter from the minister C2007-168 cited above.</w:t>
      </w:r>
    </w:p>
    <w:p>
      <w:r>
        <w:t>15 Decisions No. IV/916 cited above, M.4576 AVR/Van Ganse Winkel and M.1160 GKN/Brambles/SKP.</w:t>
      </w:r>
    </w:p>
    <w:p>
      <w:r>
        <w:t>16 Letter C2007-168 cited above.</w:t>
      </w:r>
    </w:p>
    <w:p>
      <w:r>
        <w:t>22. In any case, the question of the exact delimitation of the markets can remain open, as the conclusions of the competitive analysis remain unchanged regardless of the delimitation adopted.</w:t>
      </w:r>
    </w:p>
    <w:p>
      <w:r>
        <w:t>III. Competitive Analysis</w:t>
        <w:br/>
        <w:t>23. The present operation is likely to have two types of effects on competition. First, the waste management activities of Veolia Environnement intervene upstream of the activities of Marfret and Fluveo in the transport of waste. Therefore, it is necessary to examine the potential vertical effects of the operation. Secondly, since Veolia Environnement and Marfret operate in the same markets, the operation is likely to lead to effects through the implementation of coordination between the parent companies of the joint venture.</w:t>
      </w:r>
    </w:p>
    <w:p>
      <w:r>
        <w:t>A. VERTICAL EFFECTS</w:t>
        <w:br/>
        <w:t>24.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decision-making practice of competition authorities generally dismisses the risks of lock-in when the share of the company resulting from the operation in the relevant markets does not exceed 30%.</w:t>
      </w:r>
    </w:p>
    <w:p>
      <w:r>
        <w:t>25. In this case, Fluveo will have a negligible position in the transport commissioning market. Marfret, for its part, has a market share of less than [0-5]% across all conceivable segmentations of the road transport markets. Finally, the position of Veolia Environnement does not exceed [20-30]% across all conceivable segmentations of the waste management markets.</w:t>
      </w:r>
    </w:p>
    <w:p>
      <w:r>
        <w:t>26. Furthermore, the parties emphasize that the main competitors of Veolia Propreté in the waste management markets, such as Sita, Paprec, and Cemex, have themselves developed vertical integration solutions including inland waterway transport services.</w:t>
      </w:r>
    </w:p>
    <w:p>
      <w:r>
        <w:t>27. Finally, the buyers are primarily public authorities that select their waste collection and treatment service providers through calls for tenders. These calls for tenders regularly put different operators in competition and, therefore, relativize the market share held by Veolia Environnement.</w:t>
      </w:r>
    </w:p>
    <w:p>
      <w:r>
        <w:t>28. It follows from the above that the operation is not likely to harm competition through vertical effects.</w:t>
      </w:r>
    </w:p>
    <w:p>
      <w:r>
        <w:t>B. RISK OF COORDINATION BETWEEN PARENT COMPANIES</w:t>
        <w:br/>
        <w:t>29. The creation of a joint venture is also likely to encourage the parent companies to coordinate their activities in the markets where they remain simultaneously present.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30. In this case, the activities of Veolia Environnement and Marfret overlap in the TCFR sector. Indeed, Veolia Propreté, notably through its subsidiary SDE Environnement, is present in the TCFR market for goods in the Seine-Oise basin and Nord-Pas-de-Calais. However, the combined market shares of the parent companies are limited. Indeed, Marfret estimates that it represents [0-5]% of the TCFR market for goods in the Seine-Oise basin and [0-5]% in the Nord-Pas-de-Calais basin. Veolia Propreté represents only a small part of the TCFR activity for goods in these two regions, with a market share of less than [0-5]% in the Seine-Oise basin and approximately [0-5]% in the Nord-Pas-de-Calais basin.</w:t>
      </w:r>
    </w:p>
    <w:p>
      <w:r>
        <w:t>31. Therefore, the operation does not present a risk of coordination on the part of the parent companies.</w:t>
      </w:r>
    </w:p>
    <w:p>
      <w:r>
        <w:t>IV. Ancillary Restrictions</w:t>
        <w:br/>
        <w:t>32. Article 3 of the shareholders' agreement states that [confidential].</w:t>
      </w:r>
    </w:p>
    <w:p>
      <w:r>
        <w:t>33. The non-competition clauses are justified by the legitimate objective of achieving the concentration only to the extent that their duration, territorial scope, and material and personal scope do not exceed what is reasonably necessary for this purpose.</w:t>
      </w:r>
    </w:p>
    <w:p>
      <w:r>
        <w:t>34. In this case, the non-competition clauses stipulated in the shareholders' agreement aim to [confidential]. The scope of the non-competition clauses, strictly related to the purpose of the joint venture, is also limited. Finally, the duration of the non-competition clauses is that of the shareholders' agreement. They are therefore provided for during the lifespan of the joint venture17. The non-competition clauses therefore appear to be justified and constitute restrictions that are directly related and necessary.</w:t>
      </w:r>
    </w:p>
    <w:p>
      <w:r>
        <w:t>17 The guidelines of the Competition Authority regarding the control of concentrations consider in this regard that the Communication from the European Commission regarding restrictions directly related and necessary for the realization of concentration operations, No. 2005/C 56/03 of March 5, 2005, constitutes a useful analytical guide for such restrictions brought to the attention of the Authority within the framework of its competence. Regarding the duration of non-competition clauses between a joint venture and its parent companies, the Commission's Communication specifies that these "can be considered as directly related and necessary for the realization of the concentration during the lifespan of the joint venture" (§36).</w:t>
      </w:r>
    </w:p>
    <w:p>
      <w:r>
        <w:rPr>
          <w:b/>
        </w:rPr>
        <w:t>[Pages 7–7]</w:t>
      </w:r>
    </w:p>
    <w:p>
      <w:r>
        <w:t xml:space="preserve">DECIDES  </w:t>
        <w:br/>
        <w:t xml:space="preserve">Sole Article: The operation notified under number 12-173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