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https://www.autoritedelaconcurrence.fr/fr/decision-de-controle-des-concentrations/relative-la-creation-dune-entreprise-commune-par-les-10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18-DCC-217 of December 13, 2018  </w:t>
        <w:br/>
        <w:t xml:space="preserve">regarding the creation of a joint venture by the companies  </w:t>
        <w:br/>
        <w:t xml:space="preserve">Automobiles Défense and Lamirault Finances  </w:t>
        <w:br/>
        <w:t xml:space="preserve">The Competition Authority,  </w:t>
        <w:br/>
        <w:t xml:space="preserve">Having regard to the complete notification file sent to the mergers department on November 9, 2018,  </w:t>
        <w:br/>
        <w:t xml:space="preserve">concerning the creation of a joint venture by the companies Automobiles Défense and  </w:t>
        <w:br/>
        <w:t xml:space="preserve">Lamirault Finances, and formalized by an alliance protocol dated October 12,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parties;  </w:t>
        <w:br/>
        <w:t xml:space="preserve">Adopts the following decision:  </w:t>
        <w:br/>
        <w:t xml:space="preserve">1. The notified operation consists of the creation of a joint venture by the companies  </w:t>
        <w:br/>
        <w:t xml:space="preserve">Automobiles Défense, at the head of the Schumacher group, and Lamirault Finances, at the head of the  </w:t>
        <w:br/>
        <w:t xml:space="preserve">Lamirault group, which are active in the automotive distribution markets.  </w:t>
        <w:br/>
        <w:t xml:space="preserve">The joint venture will operate, through its subsidiaries, automotive dealerships of the brands Abarth, Alfa Romeo, Alpine, Audi, Infiniti, Fiat, Fiat Professional, Jeep, Maserati,  </w:t>
        <w:br/>
        <w:t xml:space="preserve">Nissan, Nissan Trucks, Renault and Dacia, Seat, Skoda, Suzuki, Toyota, Volkswagen and  </w:t>
        <w:br/>
        <w:t xml:space="preserve">Volkswagen Commercial Vehicles, in the departments of Côtes d’Armor (22), Eure-et-Loir (28),  </w:t>
        <w:br/>
        <w:t xml:space="preserve">Ille-et-Vilaine (35), Manche (50), Seine-et-Marne (77), Yvelines (78), Essonne (91) and  </w:t>
        <w:br/>
        <w:t xml:space="preserve">Hauts-de-Seine (92).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retail trade control thresholds mentioned in point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18-237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