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https://www.autoritedelaconcurrence.fr/fr/decision-de-controle-des-concentrations/relative-la-creation-dune-entreprise-commune-par-les-13</w:t>
      </w:r>
    </w:p>
    <w:p>
      <w:r>
        <w:t>Pages translated : 2</w:t>
      </w:r>
    </w:p>
    <w:p/>
    <w:p>
      <w:r>
        <w:rPr>
          <w:b/>
        </w:rPr>
        <w:t>[Pages 1–2]</w:t>
      </w:r>
    </w:p>
    <w:p>
      <w:r>
        <w:t xml:space="preserve">FRENCH REPUBLIC  </w:t>
        <w:br/>
        <w:t xml:space="preserve">Decision No. 19-DCC-22 of February 11, 2019  </w:t>
        <w:br/>
        <w:t xml:space="preserve">regarding the creation of a joint venture by the Figest-Baconnier and Delieuvin groups  </w:t>
        <w:br/>
        <w:t xml:space="preserve">The Competition Authority,  </w:t>
        <w:br/>
        <w:t xml:space="preserve">Having regard to the complete notification file submitted to the mergers department on January 14, 2019, concerning the creation of a joint venture named Synethis by the companies Figest, a subsidiary of the Figest-Baconnier group, and Satac Saint-Yves, a subsidiary of the Delieuvin group, and formalized by a contribution agreement dated January 8,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of a joint venture, named Synethis, by the Figest-Baconnier and Delieuvin groups, which are active in the automobile distribution markets. The joint venture will operate automobile dealerships for Renault and Dacia brands in the departments of Alpes-de-Haute-Provence (04), Hautes-Alpes (05), Bouches-du-Rhône (13), Gard (30), Var (83), and Vaucluse (84). It constitutes a concentration operation within the meaning of Article L. 430-1 of the Commercial Code. Given the revenues generated by the companies involved,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18-287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