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https://www.autoritedelaconcurrence.fr/fr/decision-de-controle-des-concentrations/relative-la-creation-dune-entreprise-commune-par-les-14</w:t>
      </w:r>
    </w:p>
    <w:p>
      <w:r>
        <w:t>Pages translated : 10</w:t>
      </w:r>
    </w:p>
    <w:p/>
    <w:p>
      <w:r>
        <w:rPr>
          <w:b/>
        </w:rPr>
        <w:t>[Pages 1–3]</w:t>
      </w:r>
    </w:p>
    <w:p>
      <w:r>
        <w:t xml:space="preserve">FRENCH REPUBLIC  </w:t>
        <w:br/>
        <w:t xml:space="preserve">Decision No. 19-DCC-32 of February 25, 2019  </w:t>
        <w:br/>
        <w:t>regarding the creation of a joint venture by the VYV and Habitat Développement groups</w:t>
      </w:r>
    </w:p>
    <w:p>
      <w:r>
        <w:t xml:space="preserve">The Competition Authority,  </w:t>
        <w:br/>
        <w:t xml:space="preserve">Having regard to the notification file submitted in full to the merger service on January 21, 2019, regarding the creation of a joint venture by the VYV and Habitat Développement groups;  </w:t>
        <w:br/>
        <w:t xml:space="preserve">Having regard to Book IV of the Commercial Code relating to price and competition freedom,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The mutualist group union (UMG) Groupe VYV (hereinafter "VYV"), subject to the provisions of Book II of the Mutuality Code, is composed of ten mutual insurance companies: MGEN, MGEN Filia, MGEN Vie, Mutuelle Nationale Territoriale, Mutuelle Générale de l’Économie, des Finances et de l’Industrie, Harmonie Mutuelle, Harmonie Fonction Publique, Mutuelle Mare-Gaillard, Chorum, and SMACL. Given, in particular, the financial solidarity links established between the UMG and its affiliated members, the combination of their accounts, as well as the unique and sustainable economic management power it possesses, VYV constitutes a single economic entity, not controlled in the sense of merger control1. VYV primarily operates in the fields of complementary health insurance, provident insurance, borrower insurance, funeral insurance, and retirement savings insurance.  </w:t>
        <w:br/>
        <w:t xml:space="preserve">2. Habitat Développement (hereinafter "HD") is the parent holding company of the Arcade group, active in the real estate sector, particularly in the management of real estate assets and the development of social housing. It is controlled by an employee mutual fund that holds no other controlling interest.  </w:t>
        <w:br/>
        <w:t xml:space="preserve">3. Firstly, according to the terms of the memorandum of understanding signed on May 22, 2018, the operation involves the creation of a public limited company (hereinafter "Newco"). [Confidential]. According to the terms of the shareholder agreement, VYV and HD will each ultimately hold 40% of the voting rights, with the remainder distributed among the other shareholders (Crédit Agricole, Action Logement, CDC, and Croix Rouge)2.  </w:t>
        <w:br/>
        <w:t xml:space="preserve">4. Furthermore, according to the provisions of the articles of association, Newco will be governed by a board of directors composed of 15 members, 5 of whom will be appointed by VYV and HD respectively. Decisions will be adopted by a simple majority. Furthermore, it follows from the majority agreement that the board of directors will be required to consult a strategic committee whose members will be chosen by the board of directors from among the directors appointed by VYV and HD regarding a number of strategic decisions such as defining the group's strategy or the annual budget or the appointment and dismissal of members of the administrative bodies. However, its opinion will not be binding on the board of directors. Therefore, neither VYV nor Arcade will be able to adopt or block decisions alone within the target. Consequently, based on the provisions of the articles of association and the shareholder and majority agreements, no shareholder of Newco will be able to exercise control over it alone or jointly.  </w:t>
        <w:br/>
        <w:t xml:space="preserve">5. Nevertheless, it is necessary to examine whether VYV and HD, holders of the largest voting rights portions, would be able to exert a decisive influence on the company in practice.  </w:t>
        <w:br/>
        <w:t xml:space="preserve">6. Point 48 of the guidelines specifies that "[T]o determine whether a minority shareholder has decisive influence, the Authority first examines the rights conferred upon them and their modalities of exercise. It takes into account, for example:  </w:t>
        <w:br/>
        <w:t xml:space="preserve">• veto rights, particularly those concerning the strategic plan, the appointment of key executives, investments, and the budget;  </w:t>
        <w:br/>
        <w:t xml:space="preserve">• the possibility of benefiting from special rights that confer immediately or in the future a share in decisions greater than their share in capital;  </w:t>
        <w:br/>
        <w:t xml:space="preserve">• the possibility of appointing certain officials within the company's governing bodies;  </w:t>
        <w:br/>
        <w:t xml:space="preserve">• the possibility of increasing their capital later either due to special agreements, or by holding convertible securities, or even the existence of purchase options; in themselves, such options cannot confer control over a period prior to their exercise unless this option is exercised in the near future in accordance with legally binding agreements, but they can reinforce other indicators of decisive influence;  </w:t>
        <w:br/>
        <w:t xml:space="preserve">• the possession of preemption or preference rights;  </w:t>
        <w:br/>
        <w:t xml:space="preserve">• the possibility of obtaining detailed information about the company's activities, particularly those generally reserved for management or parent companies."  </w:t>
        <w:br/>
        <w:t>2 In this case, the distribution of voting rights is decoupled from the capital distribution. Thus, VYV will hold […] % of the capital and 40% of the voting rights; HD, […] % of the capital and 40% of the voting rights; Crédit Agricole, […] % of the capital and […] % of the voting rights; Action Logement and CDC, […] % of the capital each and […] % of the voting rights each, and finally, Croix Rouge, […] % of the capital and […] % of the voting rights.</w:t>
      </w:r>
    </w:p>
    <w:p>
      <w:r>
        <w:t xml:space="preserve">7. In this case, the provisions of the majority agreement signed between VYV and HD provide that the position of chairman of the board of directors will be assigned to a director designated by VYV and the position of vice-chairman to a director designated by HD. Furthermore, the position of general director will be designated on the proposal of HD. Moreover, it follows from the provisions of the shareholder agreement that the parties mutually grant each other a right of preference regarding the securities they own. Finally, although the board of directors is not bound by their opinions, it is surrounded by several committees including the strategic committee, the audit committee, the nominations and remuneration committee, and the development committee whose competencies are defined in the majority agreement. HD and VYV are the only shareholders represented in all of these committees and thus have access to the information exchanged within these bodies. This information particularly concerns the definition of the strategy and the annual budget, the allocation of contributions from VYV, the appointment and dismissal of the administrative and management bodies, the general policy and remuneration elements, the preparation and control of accounting and financial information, partnership and external growth operations as well as the legal and financial modalities of cooperation between social housing organizations. Consequently, VYV and HD will be able to jointly exert a decisive influence on Newco.  </w:t>
        <w:br/>
        <w:t xml:space="preserve">8. Secondly, Newco will be the parent holding company of a group bringing together the activities of HD and VYV in the social housing market. It thus has a dedicated activity, different from its parent companies. It will also have adequate financial resources as well as its own operational staff. Finally, it follows from the articles of association that Newco has been created for a duration of 99 years. Therefore, the joint venture will have sufficient resources to operate in the market autonomously and sustainably and can thus be qualified as a full-fledged joint venture.  </w:t>
        <w:br/>
        <w:t xml:space="preserve">9. Thus, considering all these elements, the creation of Newco is analyzed as the creation of a full-fledged joint venture. Consequently, the notified operation constitutes a concentration within the meaning of Article L. 430-1 of the Commercial Code.  </w:t>
        <w:br/>
        <w:t>10. The concerned companies together achieve a total worldwide turnover excluding tax of more than 150 million euros (Groupe VYV: [≥150 million] euros for the fiscal year ending December 31, 2018, and HD: [≥50 million] for the same fiscal year). Each of these companies has achieved in France a turnover exceeding 50 million euros (Groupe VYV: [≥50 million] euros for the fiscal year ending December 31, 2018, and HD: [≥50 million] for the same fiscal year). Given these turnover figures, the thresholds set out in Article 1, paragraph 2, a) and b) of Council Regulation (EC) No. 139/2004 of January 20, 2004, are met. Nevertheless, since the parties each generate more than two-thirds of their European turnover in France, the operation does not fall under the jurisdiction of the European Union. On the other hand, the control thresholds mentioned in I of Article L. 430-2 of the Commercial Code are exceeded. The present operation is therefore subject to the provisions of Articles L. 430-3 and following of the Commercial Code relating to economic concentration.</w:t>
      </w:r>
    </w:p>
    <w:p>
      <w:r>
        <w:t xml:space="preserve">II. Definition of the relevant markets  </w:t>
        <w:br/>
        <w:t>11. The parties to the operation are simultaneously active in the real estate services markets. Furthermore, VYV is also present in the markets of property management, of</w:t>
      </w:r>
    </w:p>
    <w:p>
      <w:r>
        <w:rPr>
          <w:b/>
        </w:rPr>
        <w:t>[Pages 4–6]</w:t>
      </w:r>
    </w:p>
    <w:p>
      <w:r>
        <w:t>the long-term accommodation of elderly and young people, personal services, and home nursing care markets that have a vertical or conglomerate link with the real estate services market.</w:t>
      </w:r>
    </w:p>
    <w:p>
      <w:r>
        <w:t>A. REAL ESTATE SERVICES MARKETS</w:t>
      </w:r>
    </w:p>
    <w:p>
      <w:r>
        <w:t>1. PRODUCT AND SERVICE MARKETS</w:t>
      </w:r>
    </w:p>
    <w:p>
      <w:r>
        <w:t>12. National3 and European4 competition authorities have considered, while leaving the question open, different segmentations in the real estate services sector according to (i) the recipients of the services, with properties intended either for individuals, the buildings concerned then being for residential use, or for businesses, the buildings concerned then being for commercial or professional use, (ii) the pricing method (residential real estate free and social or intermediate assisted housing), (iii) the type of activity carried out in the premises (offices, commercial premises, and other activity premises such as warehouses or hotels) and (iv) the nature of the services or goods offered.</w:t>
      </w:r>
    </w:p>
    <w:p>
      <w:r>
        <w:t>13. For this last segmentation, the following services have been identified:</w:t>
        <w:br/>
        <w:t>(i) real estate development which includes the activities of construction and sale of real estate;</w:t>
        <w:br/>
        <w:t>(ii) asset management for own account;</w:t>
        <w:br/>
        <w:t>(iii) asset management for third parties (institutional investors, mainly banks and insurance companies) which covers advice and management of real estate portfolios (arbitration and valuation of assets), structuring of real estate investment operations, and management of real estate assets and specialized investment vehicles (notably civil real estate companies);</w:t>
        <w:br/>
        <w:t>(iv) property management which covers the activities of managing buildings on behalf of owners and can be segmented between rental management and condominium management;</w:t>
        <w:br/>
        <w:t>(v) real estate appraisal;</w:t>
        <w:br/>
        <w:t>(vi) real estate consulting;</w:t>
        <w:br/>
        <w:t>(vii) intermediation in real estate transactions for which intermediation in purchase/sale operations is distinguished from intermediation in rental operations.</w:t>
      </w:r>
    </w:p>
    <w:p>
      <w:r>
        <w:t>14. Within the management of residential real estate assets for own account, the Minister of Economy has considered that it is appropriate to distinguish "the management of social housing, insofar as this activity operates within a specific regulatory framework, through which the State plays an important role, both in terms of financial aid and allocation of housing."5 This distinction is still relevant.</w:t>
      </w:r>
    </w:p>
    <w:p>
      <w:r>
        <w:t>15. Indeed, the management of the social rental stock is regulated by the State through agreements concluded with low-rent housing organizations6 (so-called "APL agreements"). Companies, referred to as social housing organizations (OLS), are subject to the control of the National Agency for the Control of Social Housing (ANCOLS)7. In France, there are 755 social landlords (or "HLM organizations") which are divided into three categories: (i) 275 OPH created and managed by local authorities (municipalities, intermunicipalities, departments)8, (ii) 278 social housing companies (ESH) of private non-profit law9, of which 72 belong to the Action Logement group, and (iii) 168 low-rent housing cooperatives10.</w:t>
      </w:r>
    </w:p>
    <w:p>
      <w:r>
        <w:t>16. The main characteristic of the social rental stock is to offer targeted populations under resource conditions11 housing at rents significantly lower than those practiced within the private rental stock12, the allocation of which is decided by an allocation committee.</w:t>
      </w:r>
    </w:p>
    <w:p>
      <w:r>
        <w:t>17. The Minister of Economy has also considered distinguishing social housing from intermediate rental housing on the grounds that "intermediate rental housing presents economic characteristics comparable to those of social housing, the main difference being the absence of regulation imposing resource ceilings or rent limitations. Such constraints do exist, but they result from "reservation agreements" most often concluded for long durations, ranging from 9 to 15 years, with reservists (local or national public administrations, national companies), for the benefit of their officials or tenured agents."13 This distinction is also still relevant.</w:t>
      </w:r>
    </w:p>
    <w:p>
      <w:r>
        <w:t>18. Furthermore, regarding the market for holding and managing real estate assets for own account of buildings used for activities other than office or commercial premises, while leaving the question open, the decisional practice14 has considered a finer segmentation of the market according to the nature of the activities, concerning a building intended for EHPAD. In this hypothesis, the parties have communicated their positions on a market that would be limited to real estate assets used for EHPAD.</w:t>
      </w:r>
    </w:p>
    <w:p>
      <w:r>
        <w:t>19. By analogy, the parties also propose to retain, within this market, a segment related to the holding and management for own account of buildings used for long-term accommodation for young people. In this hypothesis, the parties have communicated their positions on this segment.</w:t>
      </w:r>
    </w:p>
    <w:p>
      <w:r>
        <w:t>5 Letter from the Minister dated June 21, 2002, regarding the creation of the joint venture Eulia between the Caisse des dépôts et consignations and the Caisse nationale des caisses d’épargne; letter from the Minister dated November 8, 2002, to the board of the company Gécina regarding a concentration in the real estate asset sector.</w:t>
      </w:r>
    </w:p>
    <w:p>
      <w:r>
        <w:t>6 Pursuant to Article L 351-2-2° of the Construction and Housing Code (hereinafter CCH).</w:t>
      </w:r>
    </w:p>
    <w:p>
      <w:r>
        <w:t>7 See Articles L. 342-1 to L. 342-21 of the CCH.</w:t>
      </w:r>
    </w:p>
    <w:p>
      <w:r>
        <w:t>8 See Articles L. 421-1 to L. 421-26 of the CCH.</w:t>
      </w:r>
    </w:p>
    <w:p>
      <w:r>
        <w:t>9 These are the former public limited companies for low-rent housing (SAHLM); see Articles L. 421-2 to L. 421-2-1 of the Construction and Housing Code.</w:t>
      </w:r>
    </w:p>
    <w:p>
      <w:r>
        <w:t>10 See Articles L. 422-3 to L. 422-3-2 of the CCH.</w:t>
      </w:r>
    </w:p>
    <w:p>
      <w:r>
        <w:t>11 Article R. 331-12 of the CCH makes the allocation of grants and loans for social construction conditional on the occupation of social housing by persons whose total resources, at the time of entry into the premises, are below ceilings set each year by ministerial decree.</w:t>
      </w:r>
    </w:p>
    <w:p>
      <w:r>
        <w:t>12 On average, rents in the social stock are twice lower than those in the private stock.</w:t>
      </w:r>
    </w:p>
    <w:p>
      <w:r>
        <w:t>13 C2006-151 / Letter from the Minister of Economy, Finance and Industry dated January 10, 2007, to the board of the Société Nationale Immobilière group, regarding a concentration in the sector of development and management of real estate stock primarily for residential purposes, BOCCRF No. 3bis of March 23, 2007.</w:t>
      </w:r>
    </w:p>
    <w:p>
      <w:r>
        <w:t>14 Decision of the Competition Authority No. 13-DCC-146 of October 22, 2013, regarding the joint control of a civil real estate company for the holding of a real estate asset for EHPAD by Foncière Malherbe Claudel (Crédit Agricole Group) and the Caisse des Dépôts et Consignations.</w:t>
      </w:r>
    </w:p>
    <w:p>
      <w:r>
        <w:t>20. Finally, regarding the residential real estate development market, the decisional practice15 has considered distinguishing residential real estate development from the development of premises intended for businesses.</w:t>
      </w:r>
    </w:p>
    <w:p>
      <w:r>
        <w:t>21. In this case, the parties are simultaneously present in the "social rental housing" segment within the market of residential real estate asset management for own account, in the market of holding and managing real estate assets for own account of buildings used for activities other than office or commercial premises, possibly in a segment limited to real estate assets used for EHPAD and in a segment limited to real estate assets used for long-term accommodation for young people, as well as in the residential real estate development market.</w:t>
      </w:r>
    </w:p>
    <w:p>
      <w:r>
        <w:t>22. The question of the exact delimitation of these markets may be left open, the conclusions of the competitive analysis remaining unchanged, regardless of the delimitations retained.</w:t>
      </w:r>
    </w:p>
    <w:p>
      <w:r>
        <w:t>2. GEOGRAPHICAL MARKETS</w:t>
      </w:r>
    </w:p>
    <w:p>
      <w:r>
        <w:t>23. The decisional practice16 considers that the real estate service markets aimed at individuals are of local dimension. In contrast, operations related to real estate service markets aimed at businesses have been analyzed both at the local and national levels17.</w:t>
      </w:r>
    </w:p>
    <w:p>
      <w:r>
        <w:t>24. Specifically regarding the market for holding and managing real estate assets for own account, competition authorities have conducted their competitive analyses at the regional or sub-regional level. Regarding the real estate development market, authorities have conducted their analyses at the regional or sub-regional level for regions outside Île-de-France.</w:t>
      </w:r>
    </w:p>
    <w:p>
      <w:r>
        <w:t>25. The question of the exact geographical delimitation of the markets in the real estate sector may, however, be left open, the conclusions of the competitive analysis remaining unchanged, regardless of the delimitations retained.</w:t>
      </w:r>
    </w:p>
    <w:p>
      <w:r>
        <w:t>26. In this case, the analysis will be conducted at the level of the Pays de la Loire region, at the level of the Loire-Atlantique department, and at the level of the Nantes agglomeration.</w:t>
      </w:r>
    </w:p>
    <w:p>
      <w:r>
        <w:t>B. MARKETS FOR LONG-TERM ACCOMMODATION OF ELDERLY PEOPLE</w:t>
      </w:r>
    </w:p>
    <w:p>
      <w:r>
        <w:t>1. SERVICE MARKET</w:t>
      </w:r>
    </w:p>
    <w:p>
      <w:r>
        <w:t>27. The parties are simultaneously active in the sector of accommodation for elderly people, which is distinct from the market for managing buildings intended for the accommodation of elderly people described above. In this sector, the decisional practice18 considers that the market</w:t>
      </w:r>
    </w:p>
    <w:p>
      <w:r>
        <w:t>15 See the decision of the Competition Authority No. 11-DCC-138 of September 30, 2011, regarding the exclusive control by Altarea of Urbat Promotion.</w:t>
      </w:r>
    </w:p>
    <w:p>
      <w:r>
        <w:t>16 See the decision of the Competition Authority No. 12-DCC-18 of February 13, 2012, regarding the exclusive control of the real estate rental company for industry and commerce by Icade.</w:t>
      </w:r>
    </w:p>
    <w:p>
      <w:r>
        <w:t>17 See notably the letter from the Minister of Economy, Finance and Employment C2007-52, cited above, and the decision 09-DCC-16 of June 22, 2009, of the Competition Authority regarding the merger between the Caisse d’Épargne and Banque Populaire groups.</w:t>
      </w:r>
    </w:p>
    <w:p>
      <w:r>
        <w:t>18 See the decisions of the Competition Authority No. 14-DCC-132 of September 15 regarding the exclusive control of Colisée by the Eurazeo group, No. 14-DCC-22 of February 21, 2014, regarding the merger-absorption of Médica by Korian, No. 10-DCC-179 of December 13, 2010, regarding the exclusive control of Méditer and Mieux-Vivre by Orpéa, and No. 10-DCC-132 of October 11, 2010, regarding the creation of two joint ventures by Domus Vi and GDP Vendôme.</w:t>
      </w:r>
    </w:p>
    <w:p>
      <w:r>
        <w:rPr>
          <w:b/>
        </w:rPr>
        <w:t>[Pages 7–9]</w:t>
      </w:r>
    </w:p>
    <w:p>
      <w:r>
        <w:t>absorption of the Médica company by the Korian company, no. 10-DCC-179 of December 13, 2010, concerning the exclusive control of the Méditer and Mieux-Vivre group by the Orpéa company, and no. 10-DCC-132 of October 11, 2010, concerning the creation of two joint ventures by Domus Vi and GDP Vendôme.</w:t>
      </w:r>
    </w:p>
    <w:p>
      <w:r>
        <w:t>6</w:t>
      </w:r>
    </w:p>
    <w:p>
      <w:r>
        <w:t>groups (i) nursing homes or accommodation facilities for dependent elderly persons (hereinafter "EHPAD"), (ii) housing facilities or service residences that are groups of permanent autonomous housing, in rooms or apartments, which offer optional collective equipment and services, with elderly persons being owners or tenants of their housing, and (iii) long-term care units ("USLD") which are medicalized structures intended for the permanent care of highly dependent persons.</w:t>
      </w:r>
    </w:p>
    <w:p>
      <w:r>
        <w:t>28. The decisional practice has deemed it not relevant to further segment this market based on the legal status of the establishment or according to the financial contribution required from the elderly person. On the other hand, the question of a distinct market for USLDs has been examined. The parties believe that this question can be left open as they operate EHPADs and service residences, and not USLDs.</w:t>
      </w:r>
    </w:p>
    <w:p>
      <w:r>
        <w:t>29. There is no need to challenge the delineation of this market in the present decision. The question of a distinct market for USLDs can be left open as, regardless of the segmentation retained, the conclusions of the competitive analysis will remain unchanged.</w:t>
      </w:r>
    </w:p>
    <w:p>
      <w:r>
        <w:t>2. GEOGRAPHICAL MARKET</w:t>
      </w:r>
    </w:p>
    <w:p>
      <w:r>
        <w:t>30. Regarding the geographical delineation of the market for accommodation for elderly persons, the decisional practice has retained, for the entire territory outside the Paris region, the existence of markets of departmental dimension, the criterion for choosing the establishment being its proximity to the home of the elderly person or the family reference. Concerning the Paris region, the consideration of the entire region has been envisaged.</w:t>
      </w:r>
    </w:p>
    <w:p>
      <w:r>
        <w:t>31. The question of the exact definition of the relevant geographical market can, however, be left open as, regardless of the delineation retained, the conclusions of the competitive analysis remain unchanged.</w:t>
      </w:r>
    </w:p>
    <w:p>
      <w:r>
        <w:t>C. MARKETS FOR LONG-TERM ACCOMMODATION FOR YOUNG PEOPLE</w:t>
      </w:r>
    </w:p>
    <w:p>
      <w:r>
        <w:t>32. The parties operate long-term accommodation facilities intended for a young audience. These facilities are then operated by approved associations. Regarding HD, some facilities in the Paris region are operated by an internal association of the group. Concerning the VYV group, the six facilities that will be attached to Newco are operated by CROUS or an approved association.</w:t>
      </w:r>
    </w:p>
    <w:p>
      <w:r>
        <w:t>33. The parties propose to define a market for long-term accommodation for young people, which would be distinct from the market for the management of buildings intended for the accommodation of young people described above. They argue that this market includes student residences, residences for young professionals, and residences for young workers. They also believe that there is no need to distinguish between the different types of residences.</w:t>
      </w:r>
    </w:p>
    <w:p>
      <w:r>
        <w:t>34. In this case, the competitive analysis will be conducted on the markets as defined by the parties. The exact delineation of this market can nevertheless be left open as, regardless of the segmentation retained, the conclusions of the competitive analysis remain unchanged.</w:t>
      </w:r>
    </w:p>
    <w:p>
      <w:r>
        <w:t>35. The parties propose to retain a regional dimension for the market concerning the Paris region. For the rest of the territory, a departmental dimension may be retained. The exact geographical delineation of this market can nevertheless be left open as, regardless of the segmentation retained, the conclusions of the competitive analysis remain unchanged.</w:t>
      </w:r>
    </w:p>
    <w:p>
      <w:r>
        <w:t>D. MARKETS FOR PERSONAL SERVICES</w:t>
      </w:r>
    </w:p>
    <w:p>
      <w:r>
        <w:t>36. The national decisional practice has defined personal services as "services generally performed at the consumer's home to contribute to well-being in daily life." It has left open the question of a finer segmentation of this market, particularly between the provision of services (i) to families, (ii) for daily living, and (iii) to dependent persons.</w:t>
      </w:r>
    </w:p>
    <w:p>
      <w:r>
        <w:t>37. In any case, the exact definition of these service markets can be left open, as the conclusions of the competitive analysis remain unchanged regardless of the segmentation retained.</w:t>
      </w:r>
    </w:p>
    <w:p>
      <w:r>
        <w:t>38. In this case, the competitive analysis will be conducted at the national level.</w:t>
      </w:r>
    </w:p>
    <w:p>
      <w:r>
        <w:t>E. MARKETS FOR HOME NURSING CARE</w:t>
      </w:r>
    </w:p>
    <w:p>
      <w:r>
        <w:t>39. The national decisional practice has left open the question of distinguishing home nursing care activities from those provided in hospital establishments. In this case, the parties being present in the home nursing care market, which is the only segment presenting conglomerate links with the markets where the parties are present, the competitive analysis will be conducted in this market.</w:t>
      </w:r>
    </w:p>
    <w:p>
      <w:r>
        <w:t>40. Regarding the geographical delineation, the national decisional practice has retained a local, at most regional, dimension for the home nursing care market.</w:t>
      </w:r>
    </w:p>
    <w:p>
      <w:r>
        <w:t>20 See in particular the decisions of the Authority no. 10-DCC-52 of June 2, 2010, concerning the creation of a mutual insurance group company (SGAM) by MACIF, MAIF, and MATMUT, and no. 17-DCC-74 of June 1, 2017, concerning the exclusive control of Asten Santé by La Poste Silver.</w:t>
      </w:r>
    </w:p>
    <w:p>
      <w:r>
        <w:t>21 See the decision of the Competition Authority no. 14-DCC-22 of February 21, 2014, concerning the merger absorption of Médica by Korian.</w:t>
      </w:r>
    </w:p>
    <w:p>
      <w:r>
        <w:t>22 See the aforementioned decision no. 14-DCC-22.</w:t>
      </w:r>
    </w:p>
    <w:p>
      <w:r>
        <w:t>III. Competitive Analysis</w:t>
      </w:r>
    </w:p>
    <w:p>
      <w:r>
        <w:t>A. ANALYSIS OF UNILATERAL HORIZONTAL EFFECTS</w:t>
      </w:r>
    </w:p>
    <w:p>
      <w:r>
        <w:t>1. ON THE MARKET FOR THE HOLDING AND MANAGEMENT OF SOCIAL HOUSING</w:t>
      </w:r>
    </w:p>
    <w:p>
      <w:r>
        <w:t>41. At the regional level (Pays de la Loire), departmental level (Loire-Atlantique), and local level (Nantes agglomeration), according to the parties' estimates, the market share of the new entity will remain below 15% regardless of the segmentation retained.</w:t>
      </w:r>
    </w:p>
    <w:p>
      <w:r>
        <w:t>42. Given these limited market shares, the operation is not likely to harm competition in the market for the holding and management of social housing.</w:t>
      </w:r>
    </w:p>
    <w:p>
      <w:r>
        <w:t>2. MARKETS FOR THE HOLDING AND MANAGEMENT OF REAL ESTATE FOR OWN ACCOUNT</w:t>
      </w:r>
    </w:p>
    <w:p>
      <w:r>
        <w:t>43. The parties estimated their market shares at [0-5]% in the national market for the holding and management of real estate for own account of buildings used for long-term accommodation for elderly persons and below 5% in the national market for the holding and management of real estate for own account of buildings used for long-term accommodation for young persons. In each of these markets, the parties indicate that they have market shares below 25%, regardless of the segmentation considered.</w:t>
      </w:r>
    </w:p>
    <w:p>
      <w:r>
        <w:t>44. Given these limited market shares, the operation is not likely to harm competition in the market for the holding and management of real estate for own account.</w:t>
      </w:r>
    </w:p>
    <w:p>
      <w:r>
        <w:t>3. THE MARKET FOR REAL ESTATE DEVELOPMENT</w:t>
      </w:r>
    </w:p>
    <w:p>
      <w:r>
        <w:t>45. The parties estimated their combined market shares at the national level to be less than 5% in the real estate development market.</w:t>
      </w:r>
    </w:p>
    <w:p>
      <w:r>
        <w:t>46. At the local level, the parties' activities overlap in the Pays de la Loire region, in the Loire Atlantique department, and in the Nantes agglomeration. In these local markets, their combined market share does not exceed 20%.</w:t>
      </w:r>
    </w:p>
    <w:p>
      <w:r>
        <w:t>47. Given these limited market shares, the operation is not likely to harm competition in the real estate development market.</w:t>
      </w:r>
    </w:p>
    <w:p>
      <w:r>
        <w:t>B. ANALYSIS OF NON-HORIZONTAL EFFECTS</w:t>
      </w:r>
    </w:p>
    <w:p>
      <w:r>
        <w:t>48. A vertical concentration can restrict competition by making access to the markets in which the new entity will be active more difficult, or even potentially excluding competitors or penalizing them by increasing their costs. This lock-in aims at downstream markets when the integrated company refuses to sell an input to its downstream competitors, or upstream markets when the downstream branch of the integrated company refuses to purchase products from upstream manufacturers, thus reducing their commercial outlets.</w:t>
      </w:r>
    </w:p>
    <w:p>
      <w:r>
        <w:rPr>
          <w:b/>
        </w:rPr>
        <w:t>[Pages 10–10]</w:t>
      </w:r>
    </w:p>
    <w:p>
      <w:r>
        <w:t>49. Furthermore, a concentration is likely to lead to conglomerate effects when the new entity extends or strengthens its presence in markets that have connections with other markets where it holds market power.</w:t>
      </w:r>
    </w:p>
    <w:p>
      <w:r>
        <w:t>50. However, decisional practice generally considers that a risk of vertical or conglomerate effect can be ruled out as long as the market shares of the entity resulting from the operation in the relevant markets do not exceed 30%.</w:t>
      </w:r>
    </w:p>
    <w:p>
      <w:r>
        <w:t>51. In this case, across all the markets concerned by the operation and having vertical or conglomerate links among them (property management, long-term accommodation for the elderly, long-term accommodation for young people, personal services, home nursing care), the market shares do not exceed 30%.</w:t>
      </w:r>
    </w:p>
    <w:p>
      <w:r>
        <w:t>52. Consequently, the operation is not likely to harm competition through non-horizontal effects.</w:t>
      </w:r>
    </w:p>
    <w:p>
      <w:r>
        <w:t>DECIDES</w:t>
      </w:r>
    </w:p>
    <w:p>
      <w:r>
        <w:t>Sole Article: The operation notified under number 18-257 is authorized.</w:t>
      </w:r>
    </w:p>
    <w:p>
      <w:r>
        <w:t>The Vice-President,</w:t>
        <w:br/>
        <w:t>Emmanuel Combe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