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https://www.autoritedelaconcurrence.fr/fr/decision-de-controle-des-concentrations/relative-la-creation-dune-entreprise-commune-par-les-16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19-DCC-81 of April 26, 2019  </w:t>
        <w:br/>
        <w:t xml:space="preserve">regarding the creation of a joint venture by the companies  </w:t>
        <w:br/>
        <w:t xml:space="preserve">CarStudio and Grands Garages du Pas-de-Calais  </w:t>
        <w:br/>
        <w:t>The Competition Authority,</w:t>
      </w:r>
    </w:p>
    <w:p>
      <w:r>
        <w:t xml:space="preserve">Having regard to the complete notification file sent to the mergers department on April 5, 2019,  </w:t>
        <w:br/>
        <w:t xml:space="preserve">concerning the creation of a joint venture by the companies CarStudio, controlled by the  </w:t>
        <w:br/>
        <w:t xml:space="preserve">company Norauto International, itself owned by the Mobivia group, and Grands Garages du  </w:t>
        <w:br/>
        <w:t>Pas-de-Calais, formalized by a memorandum of understanding signed on January 28, 2019;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creation by the companies CarStudio (Mobivia group) and  </w:t>
        <w:br/>
        <w:t xml:space="preserve">Grands Garages du Pas-de-Calais of a joint venture that will operate a business establishment,  </w:t>
        <w:br/>
        <w:t xml:space="preserve">located in Seclin (59), intended for the distribution of used motor vehicles. Given the turnover  </w:t>
        <w:br/>
        <w:t xml:space="preserve">achieved by the companies concerned, the operation does not fall under the jurisdiction of the  </w:t>
        <w:br/>
        <w:t xml:space="preserve">European Union. However, the retail control thresholds mentioned in II of Article L. 430-2 of the  </w:t>
        <w:br/>
        <w:t xml:space="preserve">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The markets concerned by the operation are the markets for the distribution of used motor  </w:t>
        <w:br/>
        <w:t xml:space="preserve">vehicles, spare parts and automotive accessories, and maintenance and repair services for motor  </w:t>
        <w:br/>
        <w:t xml:space="preserve">vehicles, which are defined by the decision-making practice of the Competition Authority.  </w:t>
        <w:br/>
        <w:t xml:space="preserve">3. Regardless of the segmentations retained, the combined market shares of the parties do not exceed  </w:t>
        <w:br/>
        <w:t xml:space="preserve">25% and/or the increment in market shares resulting from the operation is less than two points.  </w:t>
        <w:br/>
        <w:t xml:space="preserve">4. Considering the elements of the file and in particular points 384 and 398 of the guidelines of the  </w:t>
        <w:br/>
        <w:t xml:space="preserve">Competition 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Sole Article: The operation notified under number 19-060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