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https://www.autoritedelaconcurrence.fr/fr/decision-de-controle-des-concentrations/relative-la-creation-dune-entreprise-commune-par-les-20</w:t>
      </w:r>
    </w:p>
    <w:p>
      <w:r>
        <w:t>Pages translated : 8</w:t>
      </w:r>
    </w:p>
    <w:p/>
    <w:p>
      <w:r>
        <w:rPr>
          <w:b/>
        </w:rPr>
        <w:t>[Pages 1–3]</w:t>
      </w:r>
    </w:p>
    <w:p>
      <w:r>
        <w:t xml:space="preserve">FRENCH REPUBLIC  </w:t>
        <w:br/>
        <w:t xml:space="preserve">Decision No. 22-DEX-02 of December 14, 2022  </w:t>
        <w:br/>
        <w:t>regarding the creation of a joint venture by the Euralis and Maïsadour groups</w:t>
      </w:r>
    </w:p>
    <w:p>
      <w:r>
        <w:t xml:space="preserve">The Competition Authority,  </w:t>
        <w:br/>
        <w:t xml:space="preserve">Having regard to the notification file submitted in full to the concentrations service on May 2, 2022, concerning the merger, on the one hand, of the activities of fatty duck, fish smoking, and direct sales of Maïsadour and, on the other hand, of the activities of fatty duck and direct sales of Euralis, formalized by a framework partnership protocol dated December 17, 2021;  </w:t>
        <w:br/>
        <w:t xml:space="preserve">Having regard to Book IV of the Commercial Code relating to price freedom and competition, and in particular its Articles L. 430-1 to L. 430-7;  </w:t>
        <w:br/>
        <w:t xml:space="preserve">Having regard to the commitments submitted on July 13, 2022, by the notifying parties;  </w:t>
        <w:br/>
        <w:t xml:space="preserve">Having regard to the additional elements transmitted by the notifying parties during the investigation;  </w:t>
        <w:br/>
        <w:t xml:space="preserve">Having regard to the other documents in the file;  </w:t>
        <w:br/>
        <w:t>Adopts the following decision:</w:t>
      </w:r>
    </w:p>
    <w:p>
      <w:r>
        <w:t>1. Euralis Coop ("Euralis") is an agricultural cooperative company whose capital is held by approximately 6,500 member farmers. It is present, through its subsidiaries, in various agri-food sectors both in France and abroad. It is active in the sectors of seed production and marketing, as well as in various other activities related to agriculture, livestock, and animal production (cereals, vegetables, poultry, animal nutrition, agricultural supplies, etc.). The Euralis group is thus active, notably through its subsidiary Euralis Gastronomie, in the sector of fatty palmipeds.</w:t>
      </w:r>
    </w:p>
    <w:p>
      <w:r>
        <w:t>2. Maïsadour is an agricultural cooperative company whose capital is held by approximately 5,000 member farmers. It is notably present, through several subsidiaries, in the sectors of seeds, cereals, agricultural supplies, vegetables, animal nutrition, livestock, and animal production (poultry, fish, etc.). The Maïsadour group is also active, notably through its subsidiaries Delpeyrat and Comtesse du Barry, in the sector of fatty palmipeds, fish smoking, and the retail distribution of predominantly food products (products based on foie gras and smoked salmon, caviar, chocolates, wines, etc.).</w:t>
      </w:r>
    </w:p>
    <w:p>
      <w:r>
        <w:t>3. On December 17, 2021, the Maïsadour and Euralis groups (hereinafter, "the notifying parties" or "the parties") concluded a framework partnership protocol organizing the merger within a joint venture of the activities of fatty palmipeds, fish smoking, and retail distribution of predominantly food products of the Maïsadour group, consolidated within the companies Delpeyrat and Comtesse du Barry and their subsidiaries, and the activities of fatty palmipeds and retail distribution of predominantly food products of the Euralis group, carried out by the company Euralis Gastronomie and its subsidiaries.</w:t>
      </w:r>
    </w:p>
    <w:p>
      <w:r>
        <w:t>4. This merger will be carried out through the transformation of the company MVVH, the current subsidiary of the Maïsadour group controlling the companies Delpeyrat and Comtesse du Barry, into a joint venture to which all shares of Euralis Gastronomie will be contributed. At the end of the operation, the Euralis and Maïsadour groups will each hold [40-50]% of the capital of the joint venture, which will itself hold all the capital of the companies Delpeyrat and Euralis Gastronomie, as well as the majority of the capital of the company Comtesse du Barry. The remaining [10-20]% of the capital of the joint venture will be distributed among the companies [Confidential], and the company [Confidential] (together, hereinafter, "the financial partners").</w:t>
      </w:r>
    </w:p>
    <w:p>
      <w:r>
        <w:t>5. The joint venture will be managed by a management board whose members will be appointed by a supervisory board, which will itself be composed of ten members appointed on the proposal of the shareholders. Euralis and Maïsadour will each designate four members of the supervisory board, while [Confidential] and [Confidential] will each designate one member. The supervisory board will adopt by a simple majority (six votes out of ten) decisions relating in particular to the appointment and dismissal of members of the management board, the approval or modification of the annual budget, and certain investments not already provided for in the budget, thus ensuring that the votes of Euralis and Maïsadour are sufficient to secure this simple majority.</w:t>
      </w:r>
    </w:p>
    <w:p>
      <w:r>
        <w:t>6. The parties argue that since no shareholder will have the ability alone to adopt or block decisions relating to the annual budget and the appointment of executives, the joint venture will not be controlled.</w:t>
      </w:r>
    </w:p>
    <w:p>
      <w:r>
        <w:t>7. However, it follows from the decision-making practice of the European Commission that minority shareholders can jointly take control of a company when they collectively hold the majority of voting rights and coordinate to exercise them. In the absence of a binding legal agreement, such collective action can be demonstrated based on factual circumstances when the common interests that unite the minority shareholders are so powerful that they will not oppose each other in exercising their rights in the joint venture.</w:t>
      </w:r>
    </w:p>
    <w:p>
      <w:r>
        <w:t>8. In this case, several factual circumstances jointly demonstrate that the parties are united by powerful common interests, which will lead them not to oppose each other in exercising their rights. The investigation notably highlighted the following circumstances:</w:t>
        <w:br/>
        <w:t>- the notified operation results from bilateral negotiations between the Maïsadour and Euralis groups, during which the structure and governance of the joint venture (including the strict parity in capital and representation of the parties within the governance bodies) were decided;</w:t>
        <w:br/>
        <w:t>- the parties will be able to jointly control the joint venture;</w:t>
        <w:br/>
        <w:t>- during their bilateral negotiations, the parties agreed on the industrial and commercial project, referred to as "[Confidential]", "[Confidential]", and "[Confidential]", which they wish to implement through the pooling of their activities;</w:t>
        <w:br/>
        <w:t>- the Euralis and Maïsadour groups will contribute a significant portion of their activities to the new entity, which reinforces both their interest in the success of the joint project and the risks incurred in the event of dissent;</w:t>
        <w:br/>
        <w:t>- it is planned that the joint venture will source a large part of its supplies from the parties, both in fatty ducks and in trout.</w:t>
      </w:r>
    </w:p>
    <w:p>
      <w:r>
        <w:t>9. In light of these elements, the Euralis and Maïsadour groups will jointly control the joint venture following the contemplated operation in the sense of concentration law. Furthermore, the joint venture will carry out, through its subsidiaries, the activities of fatty duck, fish smoking, and retail distribution of predominantly food products contributed by the parties during the operation. It will therefore operate sustainably and fulfill all the functions of an autonomous economic entity.</w:t>
      </w:r>
    </w:p>
    <w:p>
      <w:r>
        <w:t>10. In view of the above, this operation is therefore analyzed as the creation by the Euralis and Maïsadour groups of a fully operational joint venture. The notified operation thus constitutes a concentration within the meaning of Article L. 430-1 of the Commercial Code.</w:t>
      </w:r>
    </w:p>
    <w:p>
      <w:r>
        <w:t>11. The companies concerned generate a total worldwide turnover of more than 150 million euros (Euralis: [≥ 150 million] euros for the fiscal year ending August 31, 2021; Maïsadour: [≥ 150 million] euros for the fiscal year ending June 30, 2021). Each of these companies generates, in France, a turnover exceeding 50 million euros (Euralis: [≥ 50 million] for the fiscal year ending August 31, 2021; Maïsadour: [≥ 50 million] euros for the fiscal year ending June 30, 2021). Each of the companies concerned generates more than two-thirds of its turnover in the European Union in France, the operation does not fall under the jurisdiction of the European Union. On the other hand, the control thresholds mentioned in point I of Article L. 430-2 of the Commercial Code are exceeded. This operation is therefore</w:t>
      </w:r>
    </w:p>
    <w:p>
      <w:r>
        <w:rPr>
          <w:b/>
        </w:rPr>
        <w:t>[Pages 4–6]</w:t>
      </w:r>
    </w:p>
    <w:p>
      <w:r>
        <w:t>subject to the provisions of Articles L. 430-3 and following of the Commercial Code relating to economic concentration.</w:t>
      </w:r>
    </w:p>
    <w:p>
      <w:r>
        <w:t>12. The operation revolves around three sectors: a) the production and marketing of meat, particularly fatty duck and goose meat, b) fish smoking, and c) the retail distribution of predominantly food products.</w:t>
      </w:r>
    </w:p>
    <w:p>
      <w:r>
        <w:t>13. The fatty duck and goose sector is the main sector affected by the operation. Fatty ducks and geese can be either fatty ducks or fatty geese. In this case, the main activity of these two groups in terms of fatty ducks and geese focuses on ducks. The fatty duck sector includes the following activities:</w:t>
        <w:br/>
        <w:t>- genetic selection, consisting of selecting and selling breeding ducks to multipliers-hatchers;</w:t>
        <w:br/>
        <w:t>- multiplication and hatching, with multiplication consisting of purchasing breeding ducks from breeders and implementing production until the onset of laying, while hatching is the technical process from incubation to hatching of eggs allowing the obtaining of ducklings and goslings which are then supplied to breeding producers;</w:t>
        <w:br/>
        <w:t>- the breeding activity, carried out by producers, consisting of growing ducklings or goslings for about 3 months with a view to obtaining a "ready-to-fatten" duck;</w:t>
        <w:br/>
        <w:t>- the fattening or feeding activity, also carried out by producers, takes place over a period of 10 to 14 days and consists of abundantly feeding ducks or geese in order to obtain so-called "fat" palmipeds;</w:t>
        <w:br/>
        <w:t>- the collection and slaughter activity, carried out by slaughterhouses, which also proceed to the cutting of products;</w:t>
        <w:br/>
        <w:t>- the processing and marketing activity, which consists of packaging products and, potentially, a succession of technical processes (for example, cooking, drying, smoking, adding condiments or spices) before marketing the products to customers in large distribution (hereinafter, "GMS"), out-of-home catering (hereinafter, "RHF"), butchers and artisans (hereinafter, "BCA") and the agri-food industry (hereinafter, "IAA"). Products may also be sold directly to consumers.</w:t>
      </w:r>
    </w:p>
    <w:p>
      <w:r>
        <w:t>14. In this case, the joint venture will primarily be active in these last two stages. It will operate a total of five slaughterhouses, as well as several cutting and processing tools, in order to offer products that will be marketed notably under the brands Delpeyrat, Maison Montfort, Diamant Noir (for GMS), Rougié, Toque Blanche, and Sarrade (for RHF) as well as under private label brands (hereinafter "MDD").</w:t>
      </w:r>
    </w:p>
    <w:p>
      <w:r>
        <w:t>15. In the sector of meat processing and marketing, the Authority consistently identifies markets specific to poultry, which include palmipeds. In terms of poultry, the Authority's decision-making practice notably identifies three markets: upstream, the market for the collection of live poultry for slaughter and, downstream, the markets for the marketing of fresh meat on the one hand, and the markets for the marketing of processed products on the other hand.</w:t>
      </w:r>
    </w:p>
    <w:p>
      <w:r>
        <w:t>16. Regarding the upstream market for the collection of live poultry for slaughter, the Authority traditionally retains as many markets as there are species of animals slaughtered. In this sense, it has already distinguished a restricted upstream market for fatty palmipeds in light of the existence of a specific supply chain, distinct from that of "lean" or roasting palmipeds. It has left open the question of a possible segmentation of this market according to the species of fatty palmiped (goose or duck). An additional segmentation, based on the existence or not of a quality sign (label rouge, IGP), has also been considered, given the specific breeding methods.</w:t>
      </w:r>
    </w:p>
    <w:p>
      <w:r>
        <w:t>17. The specific markets for the collection of fatty ducks for slaughter are defined locally. The Authority has already considered isochrone zones with a radius of 150 km around slaughterhouses, although it has left the precise delimitation open. The parties consider that such zones are too restricted and do not reflect the collection strategy of the parties, which is based on diversifying supplies from areas further away from their slaughterhouses, in order to limit the risk of under-supply related, for example, to avian influenza crises. In the context of its preliminary examination of the operation, the Authority relied, to assess the positions of the parties in the market for the collection of fatty ducks for slaughter, on the actual collection footprints of the parties' slaughterhouses, an analysis method it has already retained regarding other local slaughter markets.</w:t>
      </w:r>
    </w:p>
    <w:p>
      <w:r>
        <w:t>18. Regarding the downstream markets for fresh meat, the decision-making practice operates a segmentation according to species, with a specific distinction of raw cut products and raw fatty liver products from fatty ducks, as opposed to fresh meat from lean ducks. Additional segmentations are considered according to a) whether the products are frozen or not, b) the existence or not of a quality sign (IGP, label rouge), c) the distribution channel (distinguishing GMS, RHF, BCA, and IAA). Regarding a possible segmentation between products sold under MDD and under manufacturer brand (hereinafter, "MDF") within the GMS channel, the latter has not been considered relevant.</w:t>
      </w:r>
    </w:p>
    <w:p>
      <w:r>
        <w:t>19. Regarding the downstream markets for processed products, the decision-making practice has been led to specifically analyze the markets for products derived from fatty palmipeds, based notably on:</w:t>
        <w:br/>
        <w:t>i) the characteristics of the products: processed products based on fatty liver on the one hand, and processed products based on fatty palmiped meat on the other hand. A segmentation based on the animal species (goose or duck) from which the products are derived has been considered. For products based on fatty liver, a finer segmentation has been considered between (i) products made from raw fatty liver and (ii) products made from cooked or semi-cooked fatty liver, with a possible distinction within this market between whole fatty liver and other products based on fatty liver (block, foie gras mousse). For products based on fatty palmiped meat, a finer segmentation has been considered between (i) raw cut products, (ii) other processed products, and (iii) confits;</w:t>
        <w:br/>
        <w:t>ii) the distribution circuit;</w:t>
        <w:br/>
        <w:t>iii) the commercial positioning of the products regarding products sold in GMS: MDD and MDF.</w:t>
      </w:r>
    </w:p>
    <w:p>
      <w:r>
        <w:rPr>
          <w:b/>
        </w:rPr>
        <w:t>[Pages 7–8]</w:t>
      </w:r>
    </w:p>
    <w:p>
      <w:r>
        <w:t>20. The downstream markets for the marketing of fresh fatty duck meat and products made from fatty duck liver and meat are of national dimension.</w:t>
      </w:r>
    </w:p>
    <w:p>
      <w:r>
        <w:t>21. At this stage of the investigation, following the market delineations of the decision-making practice recalled above, the Authority notes that the joint venture will hold high market shares in volume in all collection areas around its slaughterhouses, ranging between [40-50]% and [60-70]% depending on the considered segmentations and slaughterhouses. Furthermore, the market share of the joint venture will be significantly above 50% in volume in many downstream markets affected by the operation, relating to the GMS (whole cooked or semi-cooked fatty duck livers, notably under private labels; other products made from fatty duck liver, notably under private labels; other products made from fatty duck meat under private labels; duck confits under private labels), as well as in the RHF (frozen raw fatty livers, raw cut products, other products made from fatty duck liver, other products made from fatty duck meat, fatty duck confits). Consequently, the Authority believes that the operation raises serious doubts about its impact on competition in the aforementioned markets.</w:t>
      </w:r>
    </w:p>
    <w:p>
      <w:r>
        <w:t>22. On July 13, 2022, the notifying parties submitted commitments that can be summarized as follows:</w:t>
        <w:br/>
        <w:t>- a first commitment relating to the obligations of supply of fatty ducks from the fatteners who are members of the Maïsadour and Euralis cooperatives;</w:t>
        <w:br/>
        <w:t>- a second commitment aimed at transferring contracts for the supply of fatty ducks from the parties, representing a production capacity of at least 400,000 fatty ducks, to competitors present in the downstream markets;</w:t>
        <w:br/>
        <w:t>- a third commitment consisting of the sale [Confidential: slaughtering capacities of the company in the southwest and the northwest].</w:t>
      </w:r>
    </w:p>
    <w:p>
      <w:r>
        <w:t>23. The investigation and the market test did not confirm the adequacy of this proposal of commitments to the identified competition issues. In particular, the first two commitments were deemed insufficient to significantly reduce the market shares of the new entity in the upstream and downstream markets and to stimulate competition from alternative operators in these markets. A number of limitations regarding the implementation of these commitments were also highlighted. Finally, respondents expressed a strong lack of interest in the sales proposed under the third commitment.</w:t>
      </w:r>
    </w:p>
    <w:p>
      <w:r>
        <w:t>24. In light of the above, it is particularly necessary to thoroughly examine the arguments put forward by the notifying parties, according to which the operation will have no significant effect on competition, including the existence of dynamic and credible competitors capable of meeting the demand of GMS and RHF customers and the counter-power that the actors in these two channels would benefit from.</w:t>
      </w:r>
    </w:p>
    <w:p>
      <w:r>
        <w:t>25. It is also necessary to investigate the existence of additional segmentations concerning the different markets related to fatty ducks and the potential importance of the activities related to the non-transferred sector by Maïsadour and Euralis (particularly breeding and animal feed) to the joint venture, in the context of studying the other effects of the operation.</w:t>
      </w:r>
    </w:p>
    <w:p>
      <w:r>
        <w:t>26. Given these elements and the insufficiency of the proposed commitments, it is therefore appropriate to initiate a thorough examination of the present operation, in accordance with the third bullet point of III of Article L. 430-5 of the Commercial Code.</w:t>
      </w:r>
    </w:p>
    <w:p>
      <w:r>
        <w:t>DECIDES</w:t>
        <w:br/>
        <w:t>Sole Article: The operation notified under number 21-214 is subject to a thorough examination under the conditions provided for in Article L. 430-6 of the Commercial Code.</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