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https://www.autoritedelaconcurrence.fr/fr/decision-de-controle-des-concentrations/relative-la-creation-dune-entreprise-commune-par-les-21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23-DCC-134 of July 5, 2023  </w:t>
        <w:br/>
        <w:t xml:space="preserve">concerning the creation of a joint venture by the companies  </w:t>
        <w:br/>
        <w:t xml:space="preserve">Sanders Bretagne and Gaudin Finances  </w:t>
        <w:br/>
        <w:t xml:space="preserve">The Competition Authority,  </w:t>
        <w:br/>
        <w:t xml:space="preserve">Having regard to the complete notification file submitted to the mergers department on June 20, 2023,  </w:t>
        <w:br/>
        <w:t xml:space="preserve">concerning the creation of a joint venture between the companies Sanders Bretagne and Gaudin  </w:t>
        <w:br/>
        <w:t xml:space="preserve">Finances, formalized by a term sheet dated February 13,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creation of a full-function joint venture between  </w:t>
        <w:br/>
        <w:t xml:space="preserve">the companies Sanders Bretagne, a subsidiary of the Avril group, and Gaudin Finances, which will be active in  </w:t>
        <w:br/>
        <w:t xml:space="preserve">the animal feed sector.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control thresholds mentioned in I of Article L. 430-2 of the Commercial Code are exceeded. The present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23-122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