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https://www.autoritedelaconcurrence.fr/fr/decision-de-controle-des-concentrations/relative-la-creation-dune-entreprise-commune-par-les-27</w:t>
      </w:r>
    </w:p>
    <w:p>
      <w:r>
        <w:t>Pages translated : 20</w:t>
      </w:r>
    </w:p>
    <w:p/>
    <w:p>
      <w:r>
        <w:rPr>
          <w:b/>
        </w:rPr>
        <w:t>[Pages 1–3]</w:t>
      </w:r>
    </w:p>
    <w:p>
      <w:r>
        <w:t xml:space="preserve">FRENCH REPUBLIC  </w:t>
        <w:br/>
        <w:t xml:space="preserve">Decision No. 24-DCC-235 of November 8, 2024  </w:t>
        <w:br/>
        <w:t xml:space="preserve">regarding the creation of a joint venture by the companies  </w:t>
        <w:br/>
        <w:t>TotalEnergies Marketing France and RATP Smart Systems</w:t>
      </w:r>
    </w:p>
    <w:p>
      <w:r>
        <w:t xml:space="preserve">The Competition Authority,  </w:t>
        <w:br/>
        <w:t xml:space="preserve">Having regard to the notification file submitted in full to the merger service on October 4, 2024,  </w:t>
        <w:br/>
        <w:t xml:space="preserve">regarding the creation of a joint venture by the companies TotalEnergies Marketing France and RATP Smart Systems, formalized by a memorandum of understanding signed by the notifying parties on February 13, 2023, which was extended by a letter dated July 23, 2024;  </w:t>
        <w:br/>
        <w:t xml:space="preserve">Having regard to the referral decision M.11219 of the European Commission of September 8, 2023, made pursuant to Article 4(4) of Council Regulation (EC) No. 139/2004 of January 20, 2004, on the control of concentrations between undertakings;  </w:t>
        <w:br/>
        <w:t xml:space="preserve">Having regard to Book IV of the Commercial Code relating to the freedom of prices and competition, and in particular Articles L. 430-1 to L. 430-7;  </w:t>
        <w:br/>
        <w:t xml:space="preserve">Having regard to the additional elements submitted by the notifying parties during the investigation;  </w:t>
        <w:br/>
        <w:t xml:space="preserve">Having regard to the other documents in the file;  </w:t>
        <w:br/>
        <w:t>Adopts the following decision:</w:t>
      </w:r>
    </w:p>
    <w:p>
      <w:r>
        <w:t xml:space="preserve">SUMMARY  </w:t>
        <w:br/>
        <w:t xml:space="preserve">I. THE COMPANIES CONCERNED AND THE OPERATION .............. 3  </w:t>
        <w:br/>
        <w:t xml:space="preserve">A. THE COMPANIES CONCERNED ..........................................................................3  </w:t>
        <w:br/>
        <w:t xml:space="preserve">B. THE OPERATION ...............................................................................................................3  </w:t>
        <w:br/>
        <w:t xml:space="preserve">II. DELIMITATION OF THE RELEVANT MARKETS ........................... 5  </w:t>
        <w:br/>
        <w:t xml:space="preserve">A. THE MARKET FOR THE SUPPLY OF PAYMENT AND MANAGEMENT SOLUTIONS DEDICATED TO HOME-WORK MOBILITY EXPENSES ..........5  </w:t>
        <w:br/>
        <w:t xml:space="preserve">B. THE RELEVANT MARKETS IN THE FUEL SECTOR .............7  </w:t>
        <w:br/>
        <w:t xml:space="preserve">1. THE RETAIL MARKET FOR FUELS AT SERVICE STATIONS 7  </w:t>
        <w:br/>
        <w:t xml:space="preserve">2. THE MARKET FOR THE SUPPLY OF PROFESSIONAL FUEL CARDS TO COMPANIES ........................................................................................8  </w:t>
        <w:br/>
        <w:t xml:space="preserve">C. THE MARKETS FOR ELECTRIC VEHICLE CHARGING 8  </w:t>
        <w:br/>
        <w:t xml:space="preserve">D. THE MARKETS FOR PUBLIC PASSENGER TRANSPORT ............................9  </w:t>
        <w:br/>
        <w:t xml:space="preserve">E. THE MARKET FOR THE RETAIL DISTRIBUTION OF MOBILITY SERVICES BY SERVICE ASSOCIATION (MAS) ......................................10  </w:t>
        <w:br/>
        <w:t xml:space="preserve">III. COMPETITIVE ANALYSIS .................................................... 11  </w:t>
        <w:br/>
        <w:t xml:space="preserve">A. ANALYSIS OF THE RISK OF EXCLUSION OF COMPETITORS FROM THE FUTURE JOINT VENTURE IN THE MARKET FOR THE SUPPLY OF PAYMENT AND MANAGEMENT SOLUTIONS DEDICATED TO HOME-WORK MOBILITY EXPENSES ..........................................................................11  </w:t>
        <w:br/>
        <w:t xml:space="preserve">B. ANALYSIS OF THE RISK OF EXCLUSION OF COMPETITORS OF THE PARENT COMPANIES IN MARKETS RELATED TO THE SUPPLY OF PAYMENT AND MANAGEMENT SOLUTIONS DEDICATED TO HOME-WORK MOBILITY EXPENSES ..........................................................................16  </w:t>
        <w:br/>
        <w:t xml:space="preserve">C. ANALYSIS OF RISKS RESULTING FROM A POTENTIAL PREFERENTIAL ACCESS OF THE FUTURE JOINT VENTURE TO CERTAIN DATA HELD BY RATP ...........................................................18  </w:t>
        <w:br/>
        <w:t>DECISION ..................................................................................................... 20</w:t>
      </w:r>
    </w:p>
    <w:p>
      <w:r>
        <w:t xml:space="preserve">I. The companies concerned and the operation  </w:t>
        <w:br/>
        <w:t xml:space="preserve">A. THE COMPANIES CONCERNED  </w:t>
        <w:br/>
        <w:t xml:space="preserve">1. The company RATP Smart Systems (hereinafter, "RSS") is a subsidiary of the Régie Autonome des Transports Parisiens (hereinafter, "RATP"), a public establishment with industrial and commercial character, the parent company of the RATP group. RATP was established by Law No. 48-506 of March 21, 1948, relating to the reorganization and coordination of passenger transport in the Paris region. RATP operates a passenger transport activity primarily in France. RSS specializes in intelligent transport systems and the development of mobility assistance services, both in France and abroad. In particular, RSS develops ticketing systems (sale, validation, control of transport titles, and data processing), multimodal information, and operational assistance (management, geolocation, and real-time tracking of bus and tram fleets) for passenger transport operators. RSS notably offers a multimodal digital service in Île-de-France with the Bonjour RATP application, as well as a route comparison service, real-time traffic information, and satellite geolocation (GPS) in France with the Mappy application.  </w:t>
        <w:br/>
        <w:t xml:space="preserve">2. The company TotalEnergies Marketing France (hereinafter, "TEMF") is wholly owned by TotalEnergies SE, the parent company of the TotalEnergies group (hereinafter, "TotalEnergies"). TotalEnergies is an international group active in the production and supply of energy: oil and biofuels, natural gas and green gas, renewables, and electricity. TEMF is responsible for the marketing in metropolitan France of products and services for mobility and housing.  </w:t>
        <w:br/>
        <w:t xml:space="preserve">B. THE OPERATION  </w:t>
        <w:br/>
        <w:t xml:space="preserve">3. The notified operation consists of the creation of a joint venture by RSS and TEMF, whose purpose will be to develop and market, to companies in the public and private sectors, a home-work mobility management service for their employees, within the framework of the recently established regulations in France allowing employers to cover part of the home-work mobility expenses. This offer will include:  </w:t>
        <w:br/>
        <w:t xml:space="preserve">- a payment card dedicated to eligible home-work mobility expenses covered by the three schemes governed by Articles L. 3261-1 to L. 3261-11 of the Labor Code (sustainable mobility package, fuel bonus, and public transport and bicycle rental subscription), which will allow employees to directly pay their expenses within the budgets allocated by their employer for their home-work journeys (hereinafter "the mobility card"); and  </w:t>
        <w:br/>
        <w:t>- a software solution consisting of a management portal for employers (allowing them in particular to set the budgets allocated to their employees, to order and manage the payment cards, and to validate requests for reimbursement of their mobility expenses not paid with the bank card), and an application for employees allowing them in particular to track their budget,</w:t>
      </w:r>
    </w:p>
    <w:p>
      <w:r>
        <w:rPr>
          <w:b/>
        </w:rPr>
        <w:t>[Pages 4–6]</w:t>
      </w:r>
    </w:p>
    <w:p>
      <w:r>
        <w:t>to request the coverage of their mobility expenses and to manage their payment card.</w:t>
      </w:r>
    </w:p>
    <w:p>
      <w:r>
        <w:t>4. This company will constitute a full-function joint venture performing on a lasting basis all the functions of an autonomous economic entity.</w:t>
      </w:r>
    </w:p>
    <w:p>
      <w:r>
        <w:t>5. Each of the parent companies will hold 50% of the capital and voting rights of the future joint venture. The draft shareholders' agreement provides that its president will be appointed, for a term of three years, alternately by RSS and TEMF. It also provides that a board of directors will be established and composed of six members, three appointed by RSS and three appointed by TEMF. The board of directors will be responsible, in particular, for the appointment of executives, the approval of the budget and strategic plan, and investments not included in the budget. These strategic decisions will be voted on unanimously, meaning they can only be adopted with the agreement of the representatives of both parent companies. Given these elements, RSS and TEMF will therefore jointly exercise a decisive influence over the future joint venture.</w:t>
      </w:r>
    </w:p>
    <w:p>
      <w:r>
        <w:t>6. The joint venture will benefit from sufficient resources to operate independently in the market. Indeed, it will have a commercial director, provided by TEMF under normal market conditions, and will gradually recruit operational staff, including a sales team and an operations director. Furthermore, it will own the full rights to the IT solution as well as all related intellectual property rights, on an exclusive and irrevocable basis. The joint venture will also have its own financial resources. In this regard, it will have a share capital of [confidential] euros.</w:t>
      </w:r>
    </w:p>
    <w:p>
      <w:r>
        <w:t>7. Moreover, the joint venture will conduct an economic activity that goes beyond a specific function for its parent companies, as it will develop its own autonomous commercial offering vis-à-vis its parent companies and will aim to generate almost all of its revenue from third-party companies outside its parent companies, with its offering targeting any company in the private or public sector located in France.</w:t>
      </w:r>
    </w:p>
    <w:p>
      <w:r>
        <w:t>8. Finally, the joint venture will aim to carry out its activities sustainably.</w:t>
      </w:r>
    </w:p>
    <w:p>
      <w:r>
        <w:t>9. Insofar as it results in the creation of a full-function joint venture, the notified operation constitutes a concentration within the meaning of Article L. 430-1 of the Commercial Code.</w:t>
      </w:r>
    </w:p>
    <w:p>
      <w:r>
        <w:t>10. This operation falls under the competence of the European Union pursuant to Article 1, paragraph 2 of Council Regulation (EC) No. 139/2004 on concentrations. Indeed, the companies concerned have achieved a consolidated worldwide turnover of more than 5 billion euros (TotalEnergies: [≥5] billion euros for the fiscal year ending in 2022; RATP: [≥5] billion euros for the fiscal year ending in 2022). Furthermore, each of them has achieved a turnover in the European Union exceeding 250 million euros (TotalEnergies: [≥250 million] euros for the fiscal year ending in 2022; RATP: [≥250 million] euros for the fiscal year ending in 2022). Finally, only the RATP group has generated more than two-thirds of its turnover in the European Union in a single Member State, France.</w:t>
      </w:r>
    </w:p>
    <w:p>
      <w:r>
        <w:t>1 The IT solution marketed by the future joint venture in addition to the mobility card is developed by RSS. However, the intellectual property rights of the IT solution will be transferred for the benefit of the future joint venture for an amount of [confidential] euros.</w:t>
      </w:r>
    </w:p>
    <w:p>
      <w:r>
        <w:t>11. On August 7, 2023, TEMF and RSS requested the European Commission (hereinafter, "the Commission"), by means of a reasoned memorandum, to refer the operation in its entirety to the Competition Authority (hereinafter, "the Authority"), pursuant to Article 4, paragraph 4 of Council Regulation No. 139/2004 of January 20, 2004, concerning the control of concentrations between companies. By decision M.11219 of September 8, 2023, the Commission considered that the conditions for a referral to the Authority were met. The creation of a joint venture by TEMF and RSS is therefore subject, pursuant to IV of Article L. 430-2 of the Commercial Code, to French concentration control. The notification file for the operation was sent complete to the Authority on October 4, 2024.</w:t>
      </w:r>
    </w:p>
    <w:p>
      <w:r>
        <w:t>II. Definition of the relevant markets</w:t>
      </w:r>
    </w:p>
    <w:p>
      <w:r>
        <w:t>12. The future joint venture will be active in an emerging market in the "home-to-work" mobility sector. This market has not yet been analyzed within the framework of national and European decision-making practice, and the Authority has proceeded to its definition (A). Furthermore, the parent companies are present in markets related to the market of the future joint venture, as they each sell mobility products and services that fall within the scope of use of its future offering. Thus, the TotalEnergies group is active in the fuel markets (B) and in the market for electric vehicle charging (C). The RATP group, for its part, is active in the public passenger transport markets (D) and in the retail distribution market of mobility services through service associations (E).</w:t>
      </w:r>
    </w:p>
    <w:p>
      <w:r>
        <w:t>A. THE MARKET FOR THE SUPPLY OF PAYMENT AND MANAGEMENT SOLUTIONS DEDICATED TO HOME-TO-WORK MOBILITY EXPENSES</w:t>
      </w:r>
    </w:p>
    <w:p>
      <w:r>
        <w:t>13. The Labor Code provides for several mechanisms for employers to cover expenses related to their employees' travel between their usual residence and their workplace. Thus, all employers are required to cover part of the price of public transport subscription tickets or bike rental services subscribed by their employees for their travel. Furthermore, employers also have the option to cover all or part of the expenses incurred by their employees for the purchase of fuel or electric charging for their vehicles (via the transport bonus) or for their travel made with their personal bicycle (including electric bicycles), as a driver or passenger in carpooling, or using other shared mobility services (via the sustainable mobility package).</w:t>
      </w:r>
    </w:p>
    <w:p>
      <w:r>
        <w:t>2 Article L. 3261-2 of the Labor Code.</w:t>
      </w:r>
    </w:p>
    <w:p>
      <w:r>
        <w:t>3 Article L. 3261-3 of the Labor Code.</w:t>
      </w:r>
    </w:p>
    <w:p>
      <w:r>
        <w:t>4 Article L. 3261-3-1 of the Labor Code. The following means of transport are concerned: personal bicycle (including electric bicycle), carpooling, personal mobility devices, mopeds and motorcycles for rent or self-service, car-sharing of low-emission vehicles, motorized personal mobility devices (electric) of individuals, public transport outside subscription.</w:t>
      </w:r>
    </w:p>
    <w:p>
      <w:r>
        <w:t>14. In this context, several players have developed offers for employers allowing them to centrally manage the coverage of the various mobility expenses of their employees covered by the mechanisms described above. Most of these offers rely on providing employees with a payment solution to settle their mobility expenses (in the form of a payment card or mobility voucher) accompanied by an application allowing them to track their budget as well as a management platform reserved for the employer.</w:t>
      </w:r>
    </w:p>
    <w:p>
      <w:r>
        <w:t>15. In this case, the offering of the future joint venture will include a mobility card that the employee can use to directly pay for the home-to-work transport expenses that their company intends to cover under the mechanisms described above. This card will take the form of a payment card, backed by the Mastercard network, and will be configured to be used only for products and services eligible for the coverage of home-to-work travel expenses, within the limit of an annual ceiling set by the employer (noting that this coverage allows the employer to benefit from an exemption from social contributions up to 800 euros per year, of which a maximum of 400 euros for fuel). The mobility card will be accompanied by an application module for employees, based on the Mappy application, to allow them to track their budget and expenses incurred via their mobility card. Furthermore, employers will have access to a management portal allowing them, in particular, to order and manage mobility cards, modify spending rules and ceilings, as well as validate their employees' expense receipts.</w:t>
      </w:r>
    </w:p>
    <w:p>
      <w:r>
        <w:t>16. National and European competition authorities have not, to date, been called upon to rule on the existence of a specific market for this activity. The notifying parties propose, for the purposes of analyzing this concentration, to consider a market for the supply to companies of payment and management solutions dedicated to home-to-work mobility expenses of employees.</w:t>
      </w:r>
    </w:p>
    <w:p>
      <w:r>
        <w:t>17. In the context of this investigation, the Authority has questioned several companies offering similar services to those of the future joint venture. The elements collected through this market test confirm the market definition proposed by the notifying parties.</w:t>
      </w:r>
    </w:p>
    <w:p>
      <w:r>
        <w:t>18. Given these elements and for the purposes of analyzing this operation, the Authority considers that the analysis can therefore be conducted at the level of a market for the supply to companies of payment and management solutions dedicated to home-to-work mobility expenses of employees. It should be noted, however, that this is an emerging market, currently being structured, composed of small players (notably start-ups) but also subsidiaries of large groups, particularly active in the restaurant voucher sector.</w:t>
      </w:r>
    </w:p>
    <w:p>
      <w:r>
        <w:t>19. Regarding the geographical dimension of this market, the notifying parties consider that it is national since these services are intended for employers based in France and are governed by national regulations (notably the monetary code and the labor code). The competitors surveyed also indicated that competitive pressure operates at the national level in this market.</w:t>
      </w:r>
    </w:p>
    <w:p>
      <w:r>
        <w:rPr>
          <w:b/>
        </w:rPr>
        <w:t>[Pages 7–9]</w:t>
      </w:r>
    </w:p>
    <w:p>
      <w:r>
        <w:t>20. In light of these elements, the Authority has therefore conducted its competitive analysis on the market for the provision to companies of payment and management solutions dedicated to employees' home-to-work mobility expenses at the national level.</w:t>
      </w:r>
    </w:p>
    <w:p>
      <w:r>
        <w:t>B. THE RELEVANT MARKETS IN THE FUEL SECTOR</w:t>
      </w:r>
    </w:p>
    <w:p>
      <w:r>
        <w:t>1. THE RETAIL MARKET FOR FUELS AT SERVICE STATIONS</w:t>
      </w:r>
    </w:p>
    <w:p>
      <w:r>
        <w:t>21. The Commission and the Authority consistently define a market for the retail sale of fuels within service station networks, encompassing all types of fuels, within which highway distribution and non-highway distribution are distinguished, as demand is more captive on highways.</w:t>
      </w:r>
    </w:p>
    <w:p>
      <w:r>
        <w:t>22. Recently, the Commission examined the possibility of segmenting this market based on the type of clientele by distinguishing, on the one hand, the sale of fuels to professional customers using fuel cards and, on the other hand, the sale of fuels to individual customers.</w:t>
      </w:r>
    </w:p>
    <w:p>
      <w:r>
        <w:t>23. Regarding the geographical dimension of the retail sale of fuels at non-highway service stations, the Authority considered it to be of a local dimension. The Commission, for its part, estimated that competition operates at both national and local levels in this market.</w:t>
      </w:r>
    </w:p>
    <w:p>
      <w:r>
        <w:t>24. Regarding the geographical dimension of the retail sale of fuels at highway service stations, the Commission noted, while leaving the precise delimitation open, that it could be national or sub-national. The Commission found that competition in this market operates linearly, and that most service stations have overlapping catchment areas, which is likely to create a chain of substitution between different service stations.</w:t>
      </w:r>
    </w:p>
    <w:p>
      <w:r>
        <w:t>25. In this case, the geographical delimitation of the market can be left open, with the conclusions of the competitive analysis remaining unchanged regardless of the hypothesis retained.</w:t>
      </w:r>
    </w:p>
    <w:p>
      <w:r>
        <w:t>26. In this instance, TotalEnergies is active in the retail market for fuels at service stations both on highways and off highways and for all types of customers (professionals and individuals).</w:t>
      </w:r>
    </w:p>
    <w:p>
      <w:r>
        <w:t>2. THE MARKET FOR THE SUPPLY OF PROFESSIONAL FUEL CARDS TO COMPANIES</w:t>
      </w:r>
    </w:p>
    <w:p>
      <w:r>
        <w:t>27. According to the notifying parties, fuel cards should not constitute a separate market from the retail sale of fuels to professional customers, as they are primarily a means of payment by customers.</w:t>
      </w:r>
    </w:p>
    <w:p>
      <w:r>
        <w:t>28. In its decision-making practice, the Commission has, however, already considered the existence of a separate market for the supply of fuel cards to professionals. More recently, without directly ruling on the existence of such a market, the Commission recalled that it is appropriate to distinguish the sale of fuels through professional fuel cards from the activity of distributing the fuel cards themselves. In this regard, the Commission noted that professional fuel cards can be distributed both by oil operators and by operators solely active in the distribution of cards (without fuel sales activity). These different actors are therefore not in competition in the market for the sale of fuel to professional customers but may, on the other hand, compete in the activity of distributing professional fuel cards.</w:t>
      </w:r>
    </w:p>
    <w:p>
      <w:r>
        <w:t>29. The question of the existence of a market for the supply of professional fuel cards to companies can, however, be left open in this case, with the conclusions of the competitive analysis remaining unchanged.</w:t>
      </w:r>
    </w:p>
    <w:p>
      <w:r>
        <w:t>30. Regarding the geographical dimension of this market, the Commission considered it to be national, or even European, while leaving the question of its exact definition open.</w:t>
      </w:r>
    </w:p>
    <w:p>
      <w:r>
        <w:t>31. In this instance, TotalEnergies markets professional fuel cards to companies, intended to pay for professional mobility expenses (notably fuel or electric charging expenses) of their employees.</w:t>
      </w:r>
    </w:p>
    <w:p>
      <w:r>
        <w:t>C. THE MARKETS FOR ELECTRIC VEHICLE CHARGING SUPPLY</w:t>
      </w:r>
    </w:p>
    <w:p>
      <w:r>
        <w:t>32. In the electric mobility sector, the decision-making and advisory practice of competition authorities distinguishes, in particular, the following markets:</w:t>
        <w:br/>
        <w:t>(i) the market for the installation and operation of public EV charging infrastructure (IRVE), corresponding to the activity of charging point operators (charging operator activity, "OdR"), with a possible sub-segmentation between highway and non-highway IRVE, and based on charging power (standard/fast/very fast);</w:t>
      </w:r>
    </w:p>
    <w:p>
      <w:r>
        <w:t>(ii) the market for subscription services for public IRVE, corresponding to the charging services provided by suppliers to the end user, through dedicated applications and badges or possibly within the framework of a subscription (mobility operator activity, "OdM").</w:t>
      </w:r>
    </w:p>
    <w:p>
      <w:r>
        <w:t>33. Regarding the market for the installation and operation of public IRVE, for the charging stations located on highways, the geographical dimension of the market has been defined as national with elements of local competition, while a local dimension may be retained for the stations located off highways.</w:t>
      </w:r>
    </w:p>
    <w:p>
      <w:r>
        <w:t>34. Regarding the market for subscription services for public IRVE, it is of national dimension.</w:t>
      </w:r>
    </w:p>
    <w:p>
      <w:r>
        <w:t>35. In this case, the geographical delimitation of these markets can be left open, with the conclusions of the competitive analysis remaining unchanged regardless of the hypothesis retained.</w:t>
      </w:r>
    </w:p>
    <w:p>
      <w:r>
        <w:t>36. In this instance, TotalEnergies operates both as a charging operator, through the operation of charging stations on highways and off highways, and as a mobility operator, through the marketing of a subscription offer aimed at individual customers.</w:t>
      </w:r>
    </w:p>
    <w:p>
      <w:r>
        <w:t>D. THE MARKETS FOR PUBLIC PASSENGER TRANSPORT</w:t>
      </w:r>
    </w:p>
    <w:p>
      <w:r>
        <w:t>37. Within the public passenger transport sector in France, the Authority and the Commission traditionally make a distinction between the market for the provision of public passenger transport services in Île-de-France and that outside Île-de-France, due to differences in legislative and regulatory regimes and in the equipment used.</w:t>
      </w:r>
    </w:p>
    <w:p>
      <w:r>
        <w:t>38. Among the markets for the provision of urban and intercity public passenger transport services outside Île-de-France, it is possible to distinguish:</w:t>
        <w:br/>
        <w:t>(i) rail passenger transport (outside urban networks) which has a national dimension;</w:t>
        <w:br/>
        <w:t>(ii) urban transport which includes road transport, metro, and tramway and on which competition operates essentially among all companies present at the national level; and</w:t>
        <w:br/>
        <w:t>(iii) intercity road transport for which the Authority has retained a departmental dimension.</w:t>
      </w:r>
    </w:p>
    <w:p>
      <w:r>
        <w:rPr>
          <w:b/>
        </w:rPr>
        <w:t>[Pages 10–12]</w:t>
      </w:r>
    </w:p>
    <w:p>
      <w:r>
        <w:t>39. In this case, RATP has a historical monopoly regarding bus services in Paris and the inner suburbs, and on "light" rail transport (metro, tram, and the RATP part of the Regional Express Network, known as "RER" on lines A and B).</w:t>
      </w:r>
    </w:p>
    <w:p>
      <w:r>
        <w:t>40. In the context of this activity, RATP also distributes the transport tickets corresponding to these services at its physical sales points (at ticket vending machines and counters located in metro and tram stations as well as in RER and bus stations).</w:t>
      </w:r>
    </w:p>
    <w:p>
      <w:r>
        <w:t>41. Since the gradual opening to competition of the bus network in the greater Paris area, RATP has also been awarded, following calls for tenders, the operation of several of these bus lines.</w:t>
      </w:r>
    </w:p>
    <w:p>
      <w:r>
        <w:t>42. Furthermore, the RATP group, through its subsidiary RATP Dev, is also active in the urban transport and intercity road transport markets outside the Île-de-France region.</w:t>
      </w:r>
    </w:p>
    <w:p>
      <w:r>
        <w:t>E. THE MARKET FOR THE RETAIL DISTRIBUTION OF MOBILITY SERVICES THROUGH SERVICE ASSOCIATION (MAS)</w:t>
      </w:r>
    </w:p>
    <w:p>
      <w:r>
        <w:t>43. The Authority has recently identified a market for the retail distribution of mobility services through service association (hereinafter "MAS"), within which operators retail MAS applications to end consumers. This market can be segmented between, on the one hand, services that only allow the referencing of mobility services (the "multimodal travel information services" or "SIM") and, on the other hand, services that allow booking and payment (direct payment or with deep link referral, i.e., "multimodal digital services" or "SNM").</w:t>
      </w:r>
    </w:p>
    <w:p>
      <w:r>
        <w:t>44. Regarding the geographical dimension of this market, the Authority considered it to be rather local, given that the demand from mobility operators for the referencing or distribution of their services can concentrate at the level of cities where they are active and that the demand from end customers for MAS services meets a need for local use. However, it should be noted that some services, such as the Mappy application, are used throughout the national territory.</w:t>
      </w:r>
    </w:p>
    <w:p>
      <w:r>
        <w:t>45. In this case, RATP, through its subsidiary RSS, operates the RATP website (www.ratp.fr) and the Bonjour RATP application in Île-de-France as well as the Mappy website and its mobile application throughout the French territory.</w:t>
      </w:r>
    </w:p>
    <w:p>
      <w:r>
        <w:t>46. Under a contract concluded with Île-de-France Mobilités (hereinafter "IDFM"), RSS distributes on the Bonjour RATP application part of the catalog of transport tickets offered by IDFM, namely occasional tickets and weekly or monthly passes.</w:t>
      </w:r>
    </w:p>
    <w:p>
      <w:r>
        <w:t>III. Competitive Analysis</w:t>
      </w:r>
    </w:p>
    <w:p>
      <w:r>
        <w:t>47. As a preliminary point, the operation is not likely to raise any horizontal competition issues given that there is no overlap of activities between the parent companies and that they are also not active in the market for the provision of payment and management solutions dedicated to home-to-work mobility expenses where the future joint venture will be active.</w:t>
      </w:r>
    </w:p>
    <w:p>
      <w:r>
        <w:t>48. Similarly, any risk of coordination of competitive behavior between the parent companies resulting from this concentration can be ruled out as the TotalEnergies and RATP groups are not simultaneously present in the same markets and therefore do not engage in direct economic activity competing with each other.</w:t>
      </w:r>
    </w:p>
    <w:p>
      <w:r>
        <w:t>49. The parent companies are, however, active in several markets related to the activity of the future joint venture, as the mobility card it will offer will allow employees to pay for products and services marketed respectively by the RATP and TotalEnergies groups. In this context, it is necessary to examine the non-horizontal effects of the operation resulting from potential lock-in strategies between these markets and that of the future joint venture. The Authority thus analyzed the risks of the parties' competitors being excluded from the market for the provision of payment and management solutions dedicated to home-to-work mobility expenses (A) as well as on related markets (B). Furthermore, the Authority also analyzed the same risks resulting from a potential privileged access of the future joint venture to certain data held by RATP, which could be necessary for the provision of payment and management solutions dedicated to home-to-work mobility expenses (C).</w:t>
      </w:r>
    </w:p>
    <w:p>
      <w:r>
        <w:t>A. ANALYSIS OF THE RISKS OF EXCLUDING COMPETITORS OF THE FUTURE JOINT VENTURE IN THE MARKET FOR THE PROVISION OF PAYMENT AND MANAGEMENT SOLUTIONS DEDICATED TO HOME-TO-WORK MOBILITY EXPENSES</w:t>
      </w:r>
    </w:p>
    <w:p>
      <w:r>
        <w:t>50. The Authority analyzed the potential competitive risks that could result from implementing a strategy either to prevent or degrade the use of competing cards compared to that of the future joint venture for the payment of services or mobility products sold by its parent companies (technical lock-in), or to engage in commercially tied offers between the services of the future joint venture and the products and services of the parent companies (commercial lock-in). Such strategies could indeed result in favoring the development of the future joint venture's activity to the detriment of its competitors, who could, due to the concentration, be excluded from the market.</w:t>
      </w:r>
    </w:p>
    <w:p>
      <w:r>
        <w:t>51. The ability and incentive of the parties to implement such a lock-in strategy, which can be technical (a) or commercial (b), can nevertheless be excluded considering the elements analyzed in the context of this investigation.</w:t>
      </w:r>
    </w:p>
    <w:p>
      <w:r>
        <w:t>a. The implementation of a technical lock-in strategy</w:t>
      </w:r>
    </w:p>
    <w:p>
      <w:r>
        <w:t>52. Such a strategy would consist of "blocking" or degrading the use of competing cards compared to the mobility card of the future joint venture for the purchase of goods and services sold by the TotalEnergies and RATP groups.</w:t>
      </w:r>
    </w:p>
    <w:p>
      <w:r>
        <w:t>53. The analysis of such a scenario appears relevant insofar as TotalEnergies has a market share exceeding 30% in the markets for the distribution of fuel on highways and in certain local areas regarding distribution outside highways, as well as in the market for the provision of fuel cards to professionals. In Île-de-France, RATP distributes public transport tickets at physical sales points, and its subsidiary RSS is among the providers of SNM (multimodal digital services) distributing transport tickets from the IDFM catalog, with a market share exceeding 30% in this activity.</w:t>
      </w:r>
    </w:p>
    <w:p>
      <w:r>
        <w:t>54. However, it emerges from the information provided by the parties in the context of the notification file and feedback from the market test that the solutions marketed by the competitors of the future joint venture rely on payment cards linked to the Visa or Mastercard card networks.</w:t>
      </w:r>
    </w:p>
    <w:p>
      <w:r>
        <w:t>55. Now, TotalEnergies and RATP, as merchants affiliated with the Visa or Mastercard card networks, accept without distinction all bank cards linked to these same networks and will therefore not be able to "block" competing cards compared to the mobility card of the future joint venture for the purchase of their goods and services.</w:t>
      </w:r>
    </w:p>
    <w:p>
      <w:r>
        <w:t>56. More specifically regarding RATP, the transport tickets sold on the Bonjour RATP application can be paid for using traditional payment methods (Visa or Mastercard bank card, direct debit via SEPA mandate) or mobile payment solutions (Apple Pay, Samsung Pay). Payment is made directly to IDFM, and not to RSS. The Bonjour RATP application indeed redirects users to a payment solution provided by IDFM. Regarding the transport tickets sold physically (at RATP terminals or at the counter), the operating contract concluded with IDFM provides that the customer has the option to pay for their purchases with cards.</w:t>
      </w:r>
    </w:p>
    <w:p>
      <w:r>
        <w:rPr>
          <w:b/>
        </w:rPr>
        <w:t>[Pages 13–15]</w:t>
      </w:r>
    </w:p>
    <w:p>
      <w:r>
        <w:t>payment cards whose list is updated annually and currently includes Visa and Mastercard cards.</w:t>
      </w:r>
    </w:p>
    <w:p>
      <w:r>
        <w:t>57. Regarding TotalEnergies, the notifying parties stated that the card of the future company as well as the cards marketed by its competitors belong to the category of bank cards intended for businesses (also called "corporate cards"). However, [confidential]. Thus, to block the cards of the competitors of the future joint venture, it would be necessary for TotalEnergies to block the entire category of "corporate cards," which would consequently block the card of the future joint venture as well.</w:t>
      </w:r>
    </w:p>
    <w:p>
      <w:r>
        <w:t>58. In any case, and furthermore, the Authority notes that the parties would also have no obvious economic incentive to block or degrade the offers of competing cards to the mobility card, as the parent companies would deprive themselves of sales of mobility products and services that they market without having any guarantee that the development of the customer base of the future joint venture would be sufficient, in the long term, to compensate for these losses.</w:t>
      </w:r>
    </w:p>
    <w:p>
      <w:r>
        <w:t>59. Given these elements, the Authority considers that the risks of technical lock-in in the market for the provision of payment and management solutions dedicated to home-to-work mobility expenses can be ruled out.</w:t>
      </w:r>
    </w:p>
    <w:p>
      <w:r>
        <w:t>b. The implementation of a commercial lock-in strategy</w:t>
      </w:r>
    </w:p>
    <w:p>
      <w:r>
        <w:t>60. Such a strategy would consist of offering linked or bundled offers between products or services marketed by the parent companies and the offer marketed by the joint venture to a potentially similar clientele.</w:t>
      </w:r>
    </w:p>
    <w:p>
      <w:r>
        <w:t>61. Regarding the RATP group, any risk of commercial lock-in can, in this case, be excluded as it does not offer offers aimed at businesses (for example, subscription offers covering the use, by their employees, of transport services operated by the group in the context of their professional travel) that could be bundled with that of the future joint venture.</w:t>
      </w:r>
    </w:p>
    <w:p>
      <w:r>
        <w:t>62. On the other hand, TotalEnergies markets, to businesses, cards intended to pay for mobility expenses incurred by their employees in the context of their professional travel. This includes, on the one hand, the "Fleet" card, which is a configurable and secure multi-energy card used for transactions during professional travel to pay for traditional fuel expenses, electric recharges, hydrogen, gas, washing, parking, tolls. This card is a so-called proprietary card in that it can only be used within the TotalEnergies network of service stations for fuel. TotalEnergies also markets the "Mobility Corporate" card, which allows payment for a range of professional travel expenses such as fuel, electric recharges, hydrogen, gas, but also other ancillary expenses such as taxis, restaurants, hotels, trains, planes, etc. Unlike the Fleet card, which is purely proprietary, the Mobility Corporate card is a bimodal card, meaning it has two applications on its chip: (i) an application called Fleet (proprietary part), developed by TotalEnergies, which allows users to purchase mobility services related to the vehicle and its use (fuels, electric recharges) only within the TotalEnergies service station network and its partners, and (ii) a Mastercard banking application (universal part) that allows users to pay for other mobility services (hotels, restaurants, planes, trains, etc.) with any merchant affiliated with the Mastercard network.</w:t>
      </w:r>
    </w:p>
    <w:p>
      <w:r>
        <w:t>63. In a national market for the supply of fuel cards to professionals, the notifying parties estimate that TotalEnergies would have a market share of approximately [40-50]%. Some competitors interviewed, on the other hand, provided estimates of TotalEnergies' market share ranging from 60% to 75%.</w:t>
      </w:r>
    </w:p>
    <w:p>
      <w:r>
        <w:t>64. In any case, it appears that TotalEnergies enjoys a strong position in this market, with a market share exceeding 30%, on which the group could leverage to increase sales of the future joint venture's offer by making linked and/or bundled sales and thus exclude competitors in the market for the provision of payment and management solutions dedicated to home-to-work mobility expenses. The Authority therefore analyzed the potential competitive risks that would arise from the implementation of such a strategy.</w:t>
      </w:r>
    </w:p>
    <w:p>
      <w:r>
        <w:t>65. First of all, it should be noted that the professional fuel cards marketed by TotalEnergies, on the one hand, and the mobility card of the future joint venture, on the other hand, target similar clients, namely businesses, and constitute solutions provided to them to implement the coverage of their employees' expenses within the framework of their mobility policy. These cards cover different types of travel, namely professional travel incurred by the employee in the context of their duties regarding professional fuel cards, and home-to-work travel incurred by the employee to get to their workplace regarding the mobility card. In both cases, each of these cards therefore concerns journeys made in a professional context and meets needs of the same nature, and potentially coexisting, within companies.</w:t>
      </w:r>
    </w:p>
    <w:p>
      <w:r>
        <w:t>66. In this context, several competitors of the future joint venture indicated that TotalEnergies already has a customer base with professional fuel cards, which it could partially migrate to the benefit of the future company by making bundled sales between these two offers. It was thus emphasized that access by the future joint venture to a customer base of large and medium-sized enterprises would provide it with a major commercial advantage to deploy its solution.</w:t>
      </w:r>
    </w:p>
    <w:p>
      <w:r>
        <w:t>67. In this case, it should be noted that TotalEnergies will have a role in prospecting clients for the future joint venture within the framework of a business contribution contract. [Confidential].</w:t>
      </w:r>
    </w:p>
    <w:p>
      <w:r>
        <w:t>68. In light of the elements provided by the notifying parties during the investigation, it is, however, possible to rule out any risk that the new entity would implement a bundling strategy between the offers of TotalEnergies and that of the future joint venture that could exclude its competitors.</w:t>
      </w:r>
    </w:p>
    <w:p>
      <w:r>
        <w:t>69. The new entity would have no incentive to engage in pure bundling offers, forcing client companies to purchase both the mobility card and one of TotalEnergies' professional fuel cards. According to the elements provided by the notifying parties, the share of buyers likely to be interested in the simultaneous purchase of these offers would be insufficient. Professional fuel cards indeed target companies whose employees incur mileage expenses for their professional missions, whether using their personal vehicle or a company-owned vehicle from the fleet. The mobility card, on the other hand, targets any company and potentially covers all of their employees, as it exclusively aims at home-to-work travel expenses for which the use of a professional vehicle is excluded by regulation. Thus, while some companies may be potential clients for both offers, others will not be interested in a bundled offer since they only need one of these two solutions. The customer base for professional fuel cards is thus inherently smaller than that of the mobility card.</w:t>
      </w:r>
    </w:p>
    <w:p>
      <w:r>
        <w:t>70. Therefore, if the parties sought to impose TotalEnergies' professional fuel cards on any company wishing to subscribe to the mobility card, this would pose a risk for the future joint venture of losing a large part of its target clientele, particularly companies that do not have professional vehicle fleets and therefore do not need to equip themselves with professional fuel cards, or those that already use professional fuel cards offered by TotalEnergies' competitors.</w:t>
      </w:r>
    </w:p>
    <w:p>
      <w:r>
        <w:t>71. Outside of such a scenario, the parties could also engage in mixed bundled offers, providing preferential conditions, for example a discount, to companies that have or wish to acquire professional fuel cards marketed by TotalEnergies in the event of subscribing to the future company's offer.</w:t>
      </w:r>
    </w:p>
    <w:p>
      <w:r>
        <w:t>72. However, the notifying parties stated during the investigation that "[they] do not plan to market any pure or mixed bundled offers that would combine the JV's Offer and TotalEnergies' fuel card offers. In this regard, TEMF confirms not only that it would have no interest, but that it has no intention of linking its fuel card offers to the JV's Mobility Card offer, whether by imposing a bundled purchase of these cards or by granting preferential conditions or rates in the case of a bundled purchase."</w:t>
      </w:r>
    </w:p>
    <w:p>
      <w:r>
        <w:t>73. In any case, any bundling strategy could easily be countered by competition from players such as Swile, Worklife, or Edenred, who offer companies multiple employee benefit management offers (restaurant vouchers, universal employment service checks, gift vouchers, etc.), including solutions dedicated to home-to-work mobility. Similarly, in the market for the provision of professional fuel cards, it should be noted that one of TotalEnergies' main competitors, UTA, is owned by Edenred, a major player in the restaurant voucher sector. These players could thus make bundled offers between the various employee benefits for which they provide a management system, especially since all these employee benefits are managed by the same decision-making contacts within companies, namely human resources and social relations services.</w:t>
      </w:r>
    </w:p>
    <w:p>
      <w:r>
        <w:rPr>
          <w:b/>
        </w:rPr>
        <w:t>[Pages 16–18]</w:t>
      </w:r>
    </w:p>
    <w:p>
      <w:r>
        <w:t>B. ANALYSIS OF THE RISK OF EXCLUSION OF THE PARENT COMPANIES' COMPETITORS IN MARKETS RELATED TO THE SUPPLY OF PAYMENT AND MANAGEMENT SOLUTIONS DEDICATED TO HOME-WORK MOBILITY EXPENSES</w:t>
      </w:r>
    </w:p>
    <w:p>
      <w:r>
        <w:t>a. The implementation of a technical lock-in strategy</w:t>
      </w:r>
    </w:p>
    <w:p>
      <w:r>
        <w:t>74. The Authority has analyzed the potential competitive risks that would arise from the implementation of a strategy aimed at preventing or degrading the use of the mobility card of the future joint venture in the event of purchasing mobility services or products from the competitors of the parent companies. Such a strategy could result in strengthening the strong positions of TotalEnergies or RATP in several markets where they are each present, benefiting from an additional flow of customers from the exclusive use of the mobility card with TotalEnergies or RATP.</w:t>
      </w:r>
    </w:p>
    <w:p>
      <w:r>
        <w:t>75. The ability and incentive of the parties to implement such a strategy can nevertheless be excluded. As already mentioned, the mobility card marketed by the future joint venture will be backed by the Mastercard network and will thus be designed to be used with all competing operators of TotalEnergies and RATP who are also affiliated with the Mastercard network. Indeed, the mobility card of the future joint venture will only be configured via Treezor to activate, within this network, all categories of merchants for products and services eligible for the coverage of home-work travel expenses, without selecting operators within the same categories of merchants.</w:t>
      </w:r>
    </w:p>
    <w:p>
      <w:r>
        <w:t>76. Furthermore, the parties would have no economic incentive to prevent the beneficiary employees from using the mobility card to purchase mobility products and services from the competitors of the parent companies. Like meal vouchers, to be attractive, the mobility card must be usable with the largest number of eligible mobility service providers, in order to offer a wide range of mobility products and services, a network of partners, and the broadest possible geographical coverage, capable of meeting the needs of employee users, regardless of their home-work journey.</w:t>
      </w:r>
    </w:p>
    <w:p>
      <w:r>
        <w:t>77. The only exception to this principle of universal configuration will concern subscription services for public EV charging stations. [Confidential]. The user of the mobility card of the future joint venture will therefore not be able to subscribe to a competing subscription offer from Charge +.</w:t>
      </w:r>
    </w:p>
    <w:p>
      <w:r>
        <w:t>78. However, based on the information provided in the context of this investigation, this exclusivity is not likely to lead to a lock-in on the market for subscription services for public EV charging stations (mobility operator activity) to the benefit of TotalEnergies. Indeed, this exclusivity does not impose, as such, any obligation on users of the mobility card of the future joint venture to subscribe to TotalEnergies' "Charge +" offer. Furthermore, since the mobility card is a bank card, it will allow its holder to pay directly at competing charging stations the price offered by them, provided that the charging stations are equipped with a card reader, without requiring a subscription to "Charge +". Moreover, if the user has the possibility of benefiting from more favorable rates offered by competing charging operators, rather than using their "Charge +" subscription, they will be able to pay their electric charging costs directly with the mobility card.</w:t>
      </w:r>
    </w:p>
    <w:p>
      <w:r>
        <w:t>79. In any case, and additionally, any restrictive effect of this exclusivity on the market for subscription services for public EV charging stations (mobility operator activity) can be excluded as TotalEnergies began marketing its "Charge +" offer in 2023. The notifying parties thus estimate that TotalEnergies' market share is currently very marginal in this segment and should not exceed [10-20]% by 2028.</w:t>
      </w:r>
    </w:p>
    <w:p>
      <w:r>
        <w:t>80. Furthermore, the Authority also questioned the potential effects that this exclusivity could have on the related market of operating public EV charging stations (charging operator activity). In this case, this exclusivity will also not have the effect of incentivizing users of the mobility card who would have otherwise subscribed to the "Charge +" subscription to prioritize their electric charging at TotalEnergies, as a charging operator, rather than at competitors. Indeed, it should first be noted that TotalEnergies has entered into interoperability agreements with the majority of charging operators as part of its "Charge +" offer, thus allowing customers to charge in networks competing with that of TotalEnergies. Moreover, TotalEnergies grants preferential conditions to these "Charge +" customers when they charge at EV charging stations belonging to the TotalEnergies network only in the case of a premium subscription (specifically, price discounts).</w:t>
      </w:r>
    </w:p>
    <w:p>
      <w:r>
        <w:t>81. It follows from these elements that this exclusivity is not likely to significantly strengthen TotalEnergies' positions in the related market of operating public EV charging stations (charging operator activity), which are otherwise quite weak, and systematically below 30%. TotalEnergies indeed has a market share always below 5% in all segments outside highways and a market share of [20-30]% on highways.</w:t>
      </w:r>
    </w:p>
    <w:p>
      <w:r>
        <w:t>b. The implementation of a commercial lock-in strategy</w:t>
      </w:r>
    </w:p>
    <w:p>
      <w:r>
        <w:t>82. The Authority has analyzed the competitive risks that would arise from the implementation of a strategy consisting of granting preferential rates or conditions to users of the mobility card of the future joint venture when purchasing mobility products and services from the parent companies to the detriment of their competitors who could be excluded from the markets where they already hold strong positions.</w:t>
      </w:r>
    </w:p>
    <w:p>
      <w:r>
        <w:t>83. However, it is possible to exclude the ability of the TotalEnergies and RATP groups to grant price discounts to users of the mobility card for the purchase of mobility services they market.</w:t>
      </w:r>
    </w:p>
    <w:p>
      <w:r>
        <w:t>84. Regarding RATP, it acts solely as a public service delegate in the markets of urban and intercity public transport in Île-de-France and outside Île-de-France and therefore has no control over the pricing of transport services, this prerogative falling under the transport organizing authorities.</w:t>
      </w:r>
    </w:p>
    <w:p>
      <w:r>
        <w:t>85. Regarding the mobility products marketed by TotalEnergies, the notifying parties indicated that granting price discounts would require being able to identify during payments the mobility cards of the future joint venture among the cards affiliated with the Mastercard network. TotalEnergies stated during the investigation that this proves impossible unless a complex and costly system is implemented, which the parties have not planned to establish. Such a strategy could also be implemented by linking, for example, the mobility card to a loyalty account/customer account during payments made by the user on the TotalEnergies network. Although there is no technical impossibility to set up such a loyalty system, the parties confirmed to the Authority that there is no intention to establish a commercial or promotional link, direct or indirect, between the mobility card and a loyalty/customer account held with TotalEnergies.</w:t>
      </w:r>
    </w:p>
    <w:p>
      <w:r>
        <w:t>86. Furthermore, any strategy that would consist of incentivizing employee users of the mobility card of the future joint venture to make purchases within the TotalEnergies network through preferential rates or conditions would, in any case, have no significant effect on competition in the markets where TotalEnergies is active. Indeed, the additional flow of customers through the mobility card would, by nature, be very limited given that companies can only benefit from an exemption from contributions for the reimbursement of home-work transport expenses of their employees up to 800 euros, of which a maximum of 400 euros is for the "transport bonus" (which relates to fuel and electric charging). TotalEnergies' competitors will therefore necessarily have other economic outlets outside the market for providing companies with payment and management solutions dedicated to employees' home-work mobility expenses and will therefore not be excluded from the markets.</w:t>
      </w:r>
    </w:p>
    <w:p>
      <w:r>
        <w:t>C. ANALYSIS OF THE RISKS RESULTING FROM A POSSIBLE PRIVILEGED ACCESS OF THE FUTURE JOINT VENTURE TO CERTAIN DATA HELD BY RATP</w:t>
      </w:r>
    </w:p>
    <w:p>
      <w:r>
        <w:t>87. Several competitors of the future joint venture indicated that competition in the market for providing payment and management solutions dedicated to mobility expenses...</w:t>
      </w:r>
    </w:p>
    <w:p>
      <w:r>
        <w:rPr>
          <w:b/>
        </w:rPr>
        <w:t>[Pages 19–20]</w:t>
      </w:r>
    </w:p>
    <w:p>
      <w:r>
        <w:t>the home-work commute operates on prices but also on the quality of services offered to client companies. In this regard, the ability to identify the origin of mobility expenses and verify their eligibility for reimbursement schemes would constitute a differentiating factor among the various market players in relation to client companies, which wish to have a simple and reliable expense management process. According to several third parties, this is a particularly important issue concerning the management of public transport subscription purchases, which relies in particular on the ability to control the validity of the subscription and distinguish one-off purchases related to the sustainable mobility package from recurring subscriptions that fall under a different reimbursement scheme. This would be particularly the case for public transport expenses in Île-de-France, which represent the vast majority of the expense basket of client companies (most of which are large companies whose premises are located in Île-de-France).</w:t>
      </w:r>
    </w:p>
    <w:p>
      <w:r>
        <w:t>88. Several respondents to the market test indeed mentioned that RATP, due to its activity of distributing transport tickets via the Bonjour RATP application and its physical sales points, has information related to purchases made by users that could be used to simplify, or even automate, the process of verifying public transport expenses.</w:t>
      </w:r>
    </w:p>
    <w:p>
      <w:r>
        <w:t>89. Thus, the Authority also examined whether the parties would have the possibility, after the concentration, to reserve access to this data for the future joint venture to the detriment of its competitors.</w:t>
      </w:r>
    </w:p>
    <w:p>
      <w:r>
        <w:t>90. The ability of the parties to implement such a strategy can be ruled out.</w:t>
      </w:r>
    </w:p>
    <w:p>
      <w:r>
        <w:t>91. Regarding annual subscriptions, the RATP group has no access to the certificates of annual subscriptions, as it does not distribute this type of subscription, which is sold exclusively by IDFM, thus holding a monopoly on access to the certificates of annual subscriptions.</w:t>
      </w:r>
    </w:p>
    <w:p>
      <w:r>
        <w:t>92. It appears from the information provided in the notification file that, concerning the management of reimbursements for annual subscriptions, the future joint venture will require the employee user to scan and upload, in the employee module, their certificate or proof of annual subscription. This process therefore appears to be entirely replicable by the competitors of the future joint venture and corresponds to the method adopted by some of them today.</w:t>
      </w:r>
    </w:p>
    <w:p>
      <w:r>
        <w:t>93. In any case, it also appears possible to obtain this information directly through IDFM. For example, a competitor of the future joint venture, Worklife, states on its website that it queries IDFM (through its subcontractor GIE Comutitres) to verify the validity of the public transport subscription of employee users.</w:t>
      </w:r>
    </w:p>
    <w:p>
      <w:r>
        <w:t>94. Regarding information on transport tickets and monthly subscriptions sold via the Bonjour RATP application, RSS does not have access to the certificates of these subscriptions as such, as these certificates are held and issued to users only by IDFM. Furthermore, although RSS may have access to certain information on the sales of these tickets, it is, under the contract it has concluded with IDFM, bound by a strict confidentiality obligation, prohibiting it from disclosing customer data obtained in the context of its SNM activity.</w:t>
      </w:r>
    </w:p>
    <w:p>
      <w:r>
        <w:t>95. The notifying parties also stated that RATP is contractually bound by a similar confidentiality obligation regarding confidential information to which it may have access when selling transport tickets at its physical sales points (RTAP terminals or at the counter). Indeed, they specified that "the subscription certificates accessible to Epic RATP under its contract with IDFM are in practice treated by Epic RATP as confidential information transmitted to IDFM, since these certificates contain identifying information about users who have contracted a subscription with IDFM."</w:t>
      </w:r>
    </w:p>
    <w:p>
      <w:r>
        <w:t>96. Finally, it appears from the information provided in the notification file that, regarding certificates for occasional tickets or weekly or monthly subscriptions, the future joint venture will request, in the same manner as for annual subscriptions, that the employee user scan and upload, in the employee module, their certificate or proof.</w:t>
      </w:r>
    </w:p>
    <w:p>
      <w:r>
        <w:t>97. Consequently, any concern arising from the possibility of granting the future joint venture access to user subscription information can be ruled out.</w:t>
      </w:r>
    </w:p>
    <w:p>
      <w:r>
        <w:t>98. Given all the elements presented above, any risk of non-horizontal effects resulting from the concentration can be ruled out.</w:t>
      </w:r>
    </w:p>
    <w:p>
      <w:r>
        <w:t>DECISION</w:t>
      </w:r>
    </w:p>
    <w:p>
      <w:r>
        <w:t>Sole Article: The operation notified under number 23-177 is authorized.</w:t>
      </w:r>
    </w:p>
    <w:p>
      <w:r>
        <w:t>The President,</w:t>
        <w:br/>
        <w:t>Benoît Cœuré</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