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https://www.autoritedelaconcurrence.fr/fr/decision-de-controle-des-concentrations/relative-la-creation-dune-entreprise-commune-par-les-28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25-DCC-23 of January 31, 2025  </w:t>
        <w:br/>
        <w:t xml:space="preserve">regarding the creation of a joint venture by the companies  </w:t>
        <w:br/>
        <w:t xml:space="preserve">Didam, Madi, and ITM Entreprises  </w:t>
        <w:br/>
        <w:t xml:space="preserve">The Competition Authority,  </w:t>
        <w:br/>
        <w:t xml:space="preserve">Having regard to the complete notification file submitted to the mergers department on January 16, 2025,  </w:t>
        <w:br/>
        <w:t xml:space="preserve">concerning the creation of a joint venture named Roquevar by the companies Didam,  </w:t>
        <w:br/>
        <w:t xml:space="preserve">Madi, and ITM Entreprises, formalized by the signing of the articles of association of the company Roquevar on  </w:t>
        <w:br/>
        <w:t xml:space="preserve">September 4,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creation by the companies Didam, Madi, and ITM Entreprises  </w:t>
        <w:br/>
        <w:t xml:space="preserve">of a full-function joint venture named Roquevar, which is to operate a food-dominant retail outlet of the "maxi-discount" type, with a surface area of 500 m²,  </w:t>
        <w:br/>
        <w:t xml:space="preserve">under the Intermarché Contact brand and located in La Roquebrussanne (83). The operation constitutes  </w:t>
        <w:br/>
        <w:t xml:space="preserve">a concentration within the meaning of Article L. 430-1 of the Commercial Code. Given the turnover  </w:t>
        <w:br/>
        <w:t xml:space="preserve">achieved by the companies concerned, the operation does not fall under the jurisdiction of  </w:t>
        <w:br/>
        <w:t xml:space="preserve">the European Union. However, the control thresholds mentioned in II of Article L. 430-2  </w:t>
        <w:br/>
        <w:t xml:space="preserve">of the Commercial Code are exceeded. The present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25-008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