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https://www.autoritedelaconcurrence.fr/fr/decision-de-controle-des-concentrations/relative-la-creation-dune-entreprise-commune-par-les-30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25-DCC-54 of March 12, 2025</w:t>
        <w:br/>
        <w:t>regarding the creation of a joint venture by the companies</w:t>
        <w:br/>
        <w:t>Malemo and ITM Entreprises</w:t>
        <w:br/>
        <w:t>The Competition Authority,</w:t>
        <w:br/>
        <w:t>Having regard to the complete notification file submitted to the mergers department on February 11, 2025,</w:t>
        <w:br/>
        <w:t>concerning the creation of a joint venture by the companies Malemo and ITM Entreprises,</w:t>
        <w:br/>
        <w:t>formalized by the signing of the articles of association of the company Meyssidis on January 23,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creation by the companies Malemo and ITM Entreprises of a</w:t>
        <w:br/>
        <w:t>full-function joint venture which they will jointly control, which must</w:t>
        <w:br/>
        <w:t>operate, under the Intermarché brand, a retail outlet predominantly selling food, with a surface area of 1,800 m², located in Meysse (07). This operation constitutes a</w:t>
        <w:br/>
        <w:t>concentration within the meaning of Article L. 430-1 of the Commercial Code. Given the revenues generated by the companies involved, the operation does not fall under the jurisdiction of</w:t>
        <w:br/>
        <w:t>the European Union. On the other hand, the control thresholds mentioned in II of Article L. 430-2</w:t>
        <w:br/>
        <w:t>of the Commercial Code are exceeded. The present operation is therefore subject to the provisions</w:t>
        <w:br/>
        <w:t>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25-036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