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https://www.autoritedelaconcurrence.fr/fr/decision-de-controle-des-concentrations/relative-la-creation-dune-entreprise-commune-par-les-31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25-DCC-74 of April 1, 2025  </w:t>
        <w:br/>
        <w:t xml:space="preserve">regarding the creation of a joint venture by the companies  </w:t>
        <w:br/>
        <w:t xml:space="preserve">Keralli and ITM Entreprises  </w:t>
        <w:br/>
        <w:t xml:space="preserve">The Competition Authority,  </w:t>
        <w:br/>
        <w:t xml:space="preserve">Having regard to the complete notification file submitted to the mergers department on February 26, 2025,  </w:t>
        <w:br/>
        <w:t xml:space="preserve">concerning the creation of a joint venture by the companies Keralli and ITM Entreprises  </w:t>
        <w:br/>
        <w:t xml:space="preserve">formalized by the signing of the articles of association of the company Ker Stredell on December 27,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companies Keralli and ITM Entreprises, of a  </w:t>
        <w:br/>
        <w:t xml:space="preserve">full-function joint venture which they will jointly control, which is to  </w:t>
        <w:br/>
        <w:t xml:space="preserve">operate a retail point of sale predominantly focused on food "maxi-discount" under the Intermarché brand, with an area of 998 m², in Etrelles (35). This operation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mentioned in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25-055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