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https://www.autoritedelaconcurrence.fr/fr/decision-de-controle-des-concentrations/relative-la-creation-dune-entreprise-commune-par-les-33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25-DCC-96 of April 25, 2025  </w:t>
        <w:br/>
        <w:t xml:space="preserve">regarding the creation of a joint venture by the companies  </w:t>
        <w:br/>
        <w:t xml:space="preserve">Cheikh and ITM Entreprises  </w:t>
        <w:br/>
        <w:t xml:space="preserve">The Competition Authority,  </w:t>
        <w:br/>
        <w:t xml:space="preserve">Having regard to the complete notification file submitted to the mergers department on March 27, 2025,  </w:t>
        <w:br/>
        <w:t xml:space="preserve">concerning the creation of a joint venture by the companies Cheikh and ITM Entreprises,  </w:t>
        <w:br/>
        <w:t xml:space="preserve">formalized by the signing of its statutes by the future shareholders on March 14 and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Cheikh and ITM Entreprises, of a  </w:t>
        <w:br/>
        <w:t xml:space="preserve">full-function joint venture which they will jointly control, which must  </w:t>
        <w:br/>
        <w:t xml:space="preserve">operate a retail point of sale predominantly selling food under the brand  </w:t>
        <w:br/>
        <w:t xml:space="preserve">Netto, with an area of 996 m², in Brassac-les-Mines (63). This operation constitutes a  </w:t>
        <w:br/>
        <w:t xml:space="preserve">concentration within the meaning of Article L. 430-1 of the Commercial Code. Given the  </w:t>
        <w:br/>
        <w:t xml:space="preserve">turnover 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25-086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