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https://www.autoritedelaconcurrence.fr/fr/decision-de-controle-des-concentrations/relative-la-creation-dune-entreprise-commune-par-les-34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26-DCC-62 of March 3, 2026</w:t>
        <w:br/>
        <w:t>regarding the creation of a joint venture</w:t>
        <w:br/>
        <w:t>by the companies Tomcat and ITM Entreprises</w:t>
        <w:br/>
        <w:t>The Competition Authority,</w:t>
        <w:br/>
        <w:t>Having regard to the complete notification file submitted to the mergers department on February 16, 2026,</w:t>
        <w:br/>
        <w:t>concerning the creation of a joint venture by the companies Tomcat and ITM Entreprises,</w:t>
        <w:br/>
        <w:t>formalized by the signing of the articles of association of the company Frans Distribution on April 22, 2025;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creation by the companies Tomcat and ITM Entreprises of a</w:t>
        <w:br/>
        <w:t>fully operational joint venture that they will jointly control, which is to operate a store under the Intermarché brand in Frans (01), with a sales area of</w:t>
        <w:br/>
        <w:t>2,819 m². The operation constitutes a concentration within the meaning of Article L. 430-1 of the Commercial Code. Given the turnover achieved by the companies concerned,</w:t>
        <w:br/>
        <w:t>the operation does not fall under the jurisdiction of the European Union. On the other hand, the control thresholds mentioned in II of Article L. 430-2 of the Commercial Code are exceeded. This</w:t>
        <w:br/>
        <w:t>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26-041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