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https://www.autoritedelaconcurrence.fr/fr/decision-de-controle-des-concentrations/relative-la-creation-dune-entreprise-commune-par-les-4</w:t>
      </w:r>
    </w:p>
    <w:p>
      <w:r>
        <w:t>Pages translated : 5</w:t>
      </w:r>
    </w:p>
    <w:p/>
    <w:p>
      <w:r>
        <w:rPr>
          <w:b/>
        </w:rPr>
        <w:t>[Pages 1–3]</w:t>
      </w:r>
    </w:p>
    <w:p>
      <w:r>
        <w:t xml:space="preserve">FRENCH REPUBLIC  </w:t>
        <w:br/>
        <w:t xml:space="preserve">Decision No. 17-DCC-100 of June 28, 2017  </w:t>
        <w:br/>
        <w:t xml:space="preserve">regarding the creation of a joint venture by the companies  </w:t>
        <w:br/>
        <w:t xml:space="preserve">Poste Immo Développement and Icade Promotion  </w:t>
        <w:br/>
        <w:t xml:space="preserve">The Competition Authority,  </w:t>
        <w:br/>
        <w:t xml:space="preserve">Having regard to the notification file submitted in full to the merger service on May 22, 2017,  </w:t>
        <w:br/>
        <w:t xml:space="preserve">regarding the creation of a joint venture named Arkadea by the companies Poste Immo  </w:t>
        <w:br/>
        <w:t xml:space="preserve">Développement (La Poste group) and Icade Promotion (Caisse des Dépôts et Consignations),  </w:t>
        <w:br/>
        <w:t xml:space="preserve">formalized by a memorandum of understanding dated March 14, 2017;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La Poste group (hereinafter, "La Poste") is a postal service operator organized into five  </w:t>
        <w:br/>
        <w:t xml:space="preserve">main activities: (i) the Service-Mail-Parcels branch which includes the universal mail service,  </w:t>
        <w:br/>
        <w:t xml:space="preserve">mail for businesses, and press logistics, (ii) the GeoPost branch which includes express mail service activities,  </w:t>
        <w:br/>
        <w:t xml:space="preserve">(iii) the La Banque Postale branch which includes banking and insurance activities for individuals,  </w:t>
        <w:br/>
        <w:t xml:space="preserve">businesses, and local public actors, (iv) the La Poste Network branch which includes the network of post offices,  </w:t>
        <w:br/>
        <w:t xml:space="preserve">(v) the Digital branch. Poste Immo Développement, a 100% subsidiary of La Poste Immo, itself a  </w:t>
        <w:br/>
        <w:t xml:space="preserve">100% subsidiary of La Poste, is the real estate company of the group. The Poste Immo company  </w:t>
        <w:br/>
        <w:t xml:space="preserve">manages a portfolio of approximately 6.4 million m² representing more than 11,300 tertiary,  </w:t>
        <w:br/>
        <w:t xml:space="preserve">industrial, and commercial buildings across the entire territory. Its services are also aimed at  </w:t>
        <w:br/>
        <w:t>local authorities and businesses. Poste Immo Développement is active in the real estate development sector.</w:t>
      </w:r>
    </w:p>
    <w:p>
      <w:r>
        <w:t xml:space="preserve">2. The Caisse des Dépôts et Consignations (hereinafter, "the CDC") is a public institution with a  </w:t>
        <w:br/>
        <w:t xml:space="preserve">special legal status, governed by Articles L. 518-2 and following of the Monetary and Financial Code, which  </w:t>
        <w:br/>
        <w:t xml:space="preserve">fulfills missions of general interest, in support of public policies conducted by the State and  </w:t>
        <w:br/>
        <w:t xml:space="preserve">local authorities, and which engages in activities open to competition. These are grouped around four sectors:  </w:t>
        <w:br/>
        <w:t xml:space="preserve">(i) the environment, (ii) real estate through the subsidiaries Société Nationale Immobilière and Icade,  </w:t>
        <w:br/>
        <w:t xml:space="preserve">(iii) investment and private equity, and (iv) services. Created by the law of April 28, 1816, the CDC is placed "under  </w:t>
        <w:br/>
        <w:t xml:space="preserve">the supervision and guarantee of the legislative authority," this mode of governance being intended  </w:t>
        <w:br/>
        <w:t xml:space="preserve">to ensure the autonomy of this institution which manages private funds requiring special protection.  </w:t>
        <w:br/>
        <w:t xml:space="preserve">Icade is a real estate company with the status of a listed real estate investment company that holds and manages for its own account a portfolio of real estate assets for commercial and residential use.  </w:t>
        <w:br/>
        <w:t xml:space="preserve">Icade is also active in the real estate development sector aimed at the residential, public, and tertiary sectors.  </w:t>
        <w:br/>
        <w:t>It is exclusively controlled by its majority shareholder, the CDC, which holds 39.1% of its voting rights.</w:t>
      </w:r>
    </w:p>
    <w:p>
      <w:r>
        <w:t xml:space="preserve">3. On March 18, 2009, the companies Poste Immo Développement and Icade Promotion established a  </w:t>
        <w:br/>
        <w:t xml:space="preserve">joint company named Arkadea, whose purpose is to carry out feasibility studies for real estate operations on assets held by La Poste.  </w:t>
        <w:br/>
        <w:t xml:space="preserve">By a memorandum of understanding dated March 14, 2017, the notifying parties wish to equip Arkadea with the necessary resources and means, in terms of finance and personnel, to enable it to become a fully independent joint venture from its parent companies.  </w:t>
        <w:br/>
        <w:t>It will then be fully active in the real estate development sector (construction and rehabilitation) and in the sale of constructed or rehabilitated real estate to third parties (see below).</w:t>
      </w:r>
    </w:p>
    <w:p>
      <w:r>
        <w:t xml:space="preserve">4. La Poste and Icade each hold 50% of the capital and voting rights of Arkadea, through the subsidiaries Poste Immo for La Poste and Icade Promotion for CDC/Icade.  </w:t>
        <w:br/>
        <w:t xml:space="preserve">The statutes of Arkadea provide that decisions of the partners, notably those relating to the appointment of the president, the budget, and investment projects, are taken unanimously by the votes of the partners present or represented.  </w:t>
        <w:br/>
        <w:t xml:space="preserve">The draft shareholders' agreement also provides for the establishment of a strategic committee to ensure the control and supervision of Arkadea's activities.  </w:t>
        <w:br/>
        <w:t xml:space="preserve">This strategic committee is composed of […] members appointed by Poste Immo and […] members appointed by Icade Promotion (or […] members for the partner who will have appointed the president of the strategic committee).  </w:t>
        <w:br/>
        <w:t xml:space="preserve">Its decisions are adopted by a simple majority of the votes cast by the members present or represented on the first call, with the favorable vote of at least […] representatives from each partner being required, and on the second call, by unanimity of the members present or represented.  </w:t>
        <w:br/>
        <w:t>La Poste and CDC are therefore able to jointly exercise a decisive influence on Arkadea.</w:t>
      </w:r>
    </w:p>
    <w:p>
      <w:r>
        <w:t xml:space="preserve">5. Arkadea will be endowed with its own financial resources. It will have dedicated personnel necessary for its activity (management, director and program manager, development director, marketing and sales personnel).  </w:t>
        <w:br/>
        <w:t xml:space="preserve">Agreements for a duration of […] years will be signed with its parent companies to benefit from delegated service provisions in the area of support functions (accounting, finance, legal, etc.), while Arkadea sets up its functions internally.  </w:t>
        <w:br/>
        <w:t xml:space="preserve">Arkadea will independently determine its commercial strategy. Arkadea will also have a brand, an identity, and premises.  </w:t>
        <w:br/>
        <w:t xml:space="preserve">Moreover, Arkadea will carry out real estate promotion operations (construction or rehabilitation) including the sale of constructed and/or rehabilitated properties to third parties, and not only for its parent companies.  </w:t>
        <w:br/>
        <w:t xml:space="preserve">In this regard, the relationships between Arkadea and its parent companies will not undermine its autonomy. Its objective, within a horizon of […] years, is that more than 50% of its real estate promotion projects are independent of its parent companies.  </w:t>
        <w:br/>
        <w:t>Finally, Arkadea will be designed to operate sustainably, its statutes providing notably for a period of inalienability of the parties' shares lasting ten years from the signing of the agreement.</w:t>
      </w:r>
    </w:p>
    <w:p>
      <w:r>
        <w:t>6. As it results in the transformation of a joint venture into a full-function joint venture, the notified operation constitutes a concentration within the meaning of Article L. 430-1 of the Commercial Code.</w:t>
      </w:r>
    </w:p>
    <w:p>
      <w:r>
        <w:t xml:space="preserve">7. The companies concerned together achieve a total worldwide turnover excluding taxes of more than 150 million euros (La Poste: 23.3 billion euros for the fiscal year ending December 31, 2016; CDC: […] euros for the fiscal year ending December 31, 2015).  </w:t>
        <w:br/>
        <w:t xml:space="preserve">At least two of these companies achieve a turnover in France exceeding 50 million euros (La Poste: […] euros for the fiscal year ending December 31, 2016; CDC: […] euros for the fiscal year ending December 31, 2015).  </w:t>
        <w:br/>
        <w:t xml:space="preserve">Given these turnover figures, the thresholds set out in Article 1, paragraph 2, a) and b) of Council Regulation (EC) No. 139/2004 of January 20, 2004 are met.  </w:t>
        <w:br/>
        <w:t xml:space="preserve">However, since the CDC and La Poste generate more than two-thirds of their European turnover in France, the operation is not of European dimension.  </w:t>
        <w:br/>
        <w:t xml:space="preserve">On the other hand, the control thresholds mentioned in I of Article L. 430-2 of the Commercial Code are exceeded.  </w:t>
        <w:br/>
        <w:t>This operation is therefore subject to the provisions of Articles L. 430-3 and following of the Commercial Code relating to economic concentration.</w:t>
      </w:r>
    </w:p>
    <w:p>
      <w:r>
        <w:t xml:space="preserve">II. Definition of the relevant markets  </w:t>
        <w:br/>
        <w:t xml:space="preserve">8. The parties are simultaneously active in the real estate sector. Arkadea will be present in the real estate development markets.  </w:t>
        <w:br/>
        <w:t xml:space="preserve">A. THE SERVICE MARKETS  </w:t>
        <w:br/>
        <w:t xml:space="preserve">9. National1 and European2 competition authorities have considered several segmentations in the real estate services sector according to (i) the recipients of the services, the properties being intended either for individuals, the buildings concerned being then for residential use, or for businesses, the buildings concerned being then for commercial or professional use, (ii) the pricing method, between free residential real estate and social or intermediate housing, the latter falling within a specific regulatory framework in which the State plays an important role, both in terms of financial aid and allocation of housing, (iii) the type of activity carried out in the premises (offices, commercial premises, and other premises).  </w:t>
        <w:br/>
        <w:t xml:space="preserve">1 See notably the decisions of the Competition Authority No. 17-DCC-09 of January 20, 2017 regarding the joint control of a real estate complex by the Caisse des Dépôts et Consignations and the Artea group, No. 16-DCC-84 of June 24, 2016 regarding the exclusive control of the Foncière de Paris company by Gecina, No. 16-DCC-12 of January 27, 2016 regarding the exclusive control of the Pitch Promotion group by Altarea Cogedim, No. 15-DCC-156 of December 7, 2015 regarding the joint control of a real estate asset for office use by Sogecap and Prédica, No. 15-DCC-137 of October 13, 2015 regarding the exclusive control of real estate assets by Blackstone Group, No. 14-DCC-103 of July 10, 2014 regarding the exclusive control of SIIC de Paris by Eurosic, No. 14-DCC-46 of April 1, 2014 regarding the joint control of an industrial real estate asset in Moselle by Norges Bank and Prologis, No. 09-DCC-16 of June 22, 2009 regarding the merger between the Caisse d’Épargne and Banque Populaire groups, as well as the letter from the Minister of Economy, Industry and Employment dated August 22, 2008, to the boards of the CDC and Eurosic companies, regarding a concentration in the real estate sector.  </w:t>
        <w:br/>
        <w:t>2 See the decisions of the European Commission COMP/M.2110 Deutsche Bank/SEI/JV of September 25, 2000, IV/M.2825 Fortis AG SA/Bernheim-Comofi SA of July 9, 2002, and COMP/M.3370 BNP Paribas/ARI of March 9, 2004.</w:t>
      </w:r>
    </w:p>
    <w:p>
      <w:r>
        <w:rPr>
          <w:b/>
        </w:rPr>
        <w:t>[Pages 4–5]</w:t>
      </w:r>
    </w:p>
    <w:p>
      <w:r>
        <w:t>of activities, such as warehouses or hotels), and (iv) the nature of the services or goods offered.</w:t>
      </w:r>
    </w:p>
    <w:p>
      <w:r>
        <w:t>10. For this last segmentation, the following services have been identified:</w:t>
        <w:br/>
        <w:t>- real estate development, which includes construction and sale activities of real estate properties;</w:t>
        <w:br/>
        <w:t>- management of real estate assets for own account;</w:t>
        <w:br/>
        <w:t>- management of real estate assets for third parties (institutional investors, mainly banks and insurance companies), which covers advisory and real estate portfolio management (arbitrage and asset valuation), structuring of real estate investment operations, and management of real estate assets and specialized investment vehicles (notably real estate civil companies);</w:t>
        <w:br/>
        <w:t>- administration of real estate, which covers the activities of managing properties on behalf of owners and can be segmented between rental management and condominium management;</w:t>
        <w:br/>
        <w:t>- real estate appraisal;</w:t>
        <w:br/>
        <w:t>- real estate consulting;</w:t>
        <w:br/>
        <w:t>- intermediation in real estate transactions, for which intermediation in purchase/sale operations is distinguished from intermediation in rental operations.</w:t>
      </w:r>
    </w:p>
    <w:p>
      <w:r>
        <w:t>11. The question of the exact delimitation of these markets may be left open, the conclusions of the competitive analysis remaining unchanged, regardless of the segmentation adopted.</w:t>
      </w:r>
    </w:p>
    <w:p>
      <w:r>
        <w:t>B. GEOGRAPHICAL MARKETS</w:t>
      </w:r>
    </w:p>
    <w:p>
      <w:r>
        <w:t>12. The decision-making practice considers that the markets related to the real estate sector are of a local dimension, while leaving the question open.</w:t>
      </w:r>
    </w:p>
    <w:p>
      <w:r>
        <w:t>13. However, the analysis has already been conducted at the national level for real estate services aimed at businesses, when operations are carried out by groups of national scope following a strategy of establishing a network across the territory.</w:t>
      </w:r>
    </w:p>
    <w:p>
      <w:r>
        <w:t>14. For the Île-de-France region, the Minister of Economy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w:t>
      </w:r>
    </w:p>
    <w:p>
      <w:r>
        <w:t>15. For other regions, competitive analyses have been conducted at the regional or sub-regional levels.</w:t>
      </w:r>
    </w:p>
    <w:p>
      <w:r>
        <w:t>16. The question of the exact geographical delimitation of these markets may, however, be left open, the conclusions of the competitive analysis remaining unchanged, regardless of the segmentation adopted.</w:t>
      </w:r>
    </w:p>
    <w:p>
      <w:r>
        <w:t>III. COMPETITIVE ANALYSIS</w:t>
      </w:r>
    </w:p>
    <w:p>
      <w:r>
        <w:t>17. Arkadea will be active in the real estate development market where the CDC is also active.</w:t>
      </w:r>
    </w:p>
    <w:p>
      <w:r>
        <w:t>18. The CDC estimated its market share at [0-5]% in the national residential real estate development market and at [0-5]% in the national office real estate development market. In each of these markets, the parties indicate that they have market shares well below 25%, regardless of the segmentation considered.</w:t>
      </w:r>
    </w:p>
    <w:p>
      <w:r>
        <w:t>19. Furthermore, the parties have limited positions in the management of real estate assets (cumulative market share below [5-10]% at the national level and, in any case, below 25% at the departmental level, according to their estimates), so that the operation is not likely to produce vertical effects that could eliminate competitors, both upstream and downstream of these markets.</w:t>
      </w:r>
    </w:p>
    <w:p>
      <w:r>
        <w:t>20. In any case, the parties will face competition from significant operators in the real estate development sector, such as Bouygues Immobilier, Kaufman &amp; Broad, Nexity, Eiffage immobilier, Vinci Immobilier, BNP Paris Real Estate, Altarea Cogedim, Sogeprom, Crédit Agricole Immobilier, and Emerige.</w:t>
      </w:r>
    </w:p>
    <w:p>
      <w:r>
        <w:t>21. Consequently, the operation is not likely to harm competition in the real estate sector markets.</w:t>
      </w:r>
    </w:p>
    <w:p>
      <w:r>
        <w:t>DECIDES</w:t>
      </w:r>
    </w:p>
    <w:p>
      <w:r>
        <w:t>Sole Article: The operation notified under number 17-095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