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https://www.autoritedelaconcurrence.fr/fr/decision-de-controle-des-concentrations/relative-la-creation-dune-entreprise-commune-par-les-5</w:t>
      </w:r>
    </w:p>
    <w:p>
      <w:r>
        <w:t>Pages translated : 15</w:t>
      </w:r>
    </w:p>
    <w:p/>
    <w:p>
      <w:r>
        <w:rPr>
          <w:b/>
        </w:rPr>
        <w:t>[Pages 1–3]</w:t>
      </w:r>
    </w:p>
    <w:p>
      <w:r>
        <w:t>FRENCH REPUBLIC</w:t>
        <w:br/>
        <w:t>Decision No. 18-DCC-235 of December 28, 2018</w:t>
        <w:br/>
        <w:t>regarding the creation of a joint venture by the companies</w:t>
        <w:br/>
        <w:t>Global Blue and Planet Payment</w:t>
        <w:br/>
        <w:t>The Competition Authority,</w:t>
        <w:br/>
        <w:t>Having regard to the request for referral submitted on July 23, 2018, by the companies Global Blue and Premier Tax Free and the referral decision of the European Commission of August 21, 2018, made pursuant to Article 4(4) of Council Regulation (EC) No. 139/2004 of January 20, 2004, on the control of concentrations between undertakings;</w:t>
        <w:br/>
        <w:t>Having regard to the notification file sent in full to the concentrations service on November 21, 2018, regarding the creation of a joint venture by the companies Global Blue and Premier Tax Free;</w:t>
        <w:br/>
        <w:t>Having regard to Book IV of the Commercial Code relating to the freedom of prices and competition, and in particular Articles L. 430-1 to L. 430-7;</w:t>
        <w:br/>
        <w:t>Having regard to the commitments submitted on November 21, 2018, by the parties and last modified on December 21, 2018;</w:t>
        <w:br/>
        <w:t>Having regard to the additional elements transmitted by the parties during the investigation;</w:t>
        <w:br/>
        <w:t>Having regard to the other documents in the file;</w:t>
        <w:br/>
        <w:t>Adopts the following decision:</w:t>
        <w:br/>
        <w:t>I. The concerned companies and the operation</w:t>
        <w:br/>
        <w:t>A. THE PARTIES</w:t>
        <w:br/>
        <w:t>1. Global Blue France (hereinafter "Global Blue") is a subsidiary of Global Blue Group, a global group primarily active in the VAT refund services market. Global Blue Group also provides currency payment services and marketing and data analysis services for merchants. In France, Global Blue is active in the market for VAT refund services. Global Blue Group is controlled by the investment group Silver Lake1.</w:t>
        <w:br/>
        <w:t>2. Planet Payment France SAS2 (hereinafter "Planet Payment") is a subsidiary of the Franklin Ireland Group (hereinafter "Fintrax"), a global group primarily active in the VAT refund services market. Fintrax also provides currency payment services and payment solutions. In France, Planet Payment is active in the market for VAT refund services. Fintrax is controlled by the investment company Eurazeo.</w:t>
        <w:br/>
        <w:t>B. THE OPERATION</w:t>
        <w:br/>
        <w:t>3. On September 26, 2017, the ADP group (hereinafter "ADP") published a notice in the Official Journal of the European Union under reference 2017/S 184-377857, announcing the organization of a consultation for the operation of areas dedicated to VAT refund activity (tax refund) within the Paris-Orly and Paris-Roissy airports (hereinafter, together, "the Paris airports")3. This competitive bidding process (hereinafter "the call for tenders") led to the sending of a consultation file specifying the criteria used by ADP for the selection of offers.</w:t>
        <w:br/>
        <w:t>4. The parties submitted a joint response on January 25, 2018, for each of the lots proposed in the context of the call for tenders (Paris-Orly on one hand and Paris-Roissy on the other). In this context, the parties committed to ADP to create, if they won the call for tenders, a joint company responsible for the activity targeted by the call for tenders4, distinct from each of the parties. They were informed by ADP on May 2, 2018, that their final offer had been accepted.</w:t>
        <w:br/>
        <w:t>5. The draft statutes of the joint venture, as well as the draft shareholders' agreement, provide that Global Blue and Planet Payment will initially hold, respectively, 60% and 40% of the capital of the joint venture. During the start-up period of the joint venture's activity, two managers will be appointed, each by one of the partners. At the end of this period, the managers will be appointed by unanimous agreement of the partners. The managers will be able to carry out all management acts in the interest of the joint venture, subject to the specific powers of the other management bodies, notably the management committee. The management committee will be composed of representatives of the partners. Each of its members will have one vote, and the management committee will adopt its decisions by unanimous consent. Its decisions will notably concern the validation of annual and multi-year budgets, investment decisions made by the joint venture, and the conclusion of certain service contracts with third parties. Given these elements, Global Blue and Planet Payment will jointly control the joint venture.</w:t>
        <w:br/>
        <w:t>1 European Commission Decision, M.6639 of July 11, 2012, Silver Lake / Global Blue.</w:t>
        <w:br/>
        <w:t>2 Formerly Premier Tax Free France, the company having changed its corporate name during the examination of the operation by the Competition Authority (response of the parties of December 17, 2018, to the questionnaire from the investigation services of December 12, 2018).</w:t>
        <w:br/>
        <w:t>3 This operation is ensured, until the effective creation of the joint venture and the launch of its activity, by the company Travelex, primarily active as a currency exchange operator.</w:t>
        <w:br/>
        <w:t>4 See in this sense the joint responses of the parties to the call for tenders: "If this offer were accepted, the Candidate would commit to establish, [Confidential] following notification by the ADP Group of the choice of candidate, a legal entity under French law whose only activities would be those of this consultation, so that its general accounting reflects exclusively the operations carried out in this context in accordance with Article 3.3.1. of the Consultation File."</w:t>
        <w:br/>
        <w:t>2</w:t>
      </w:r>
    </w:p>
    <w:p>
      <w:r>
        <w:t>6. The joint venture is intended to conduct economic activity in a market as a replacement for a third-party operator (Travelex) that previously provided the same service within the Paris airports. Although the sales made by the joint venture to its parent companies will constitute a very significant portion of the joint venture's turnover, this proportion does not result from any contractual agreement and merely reflects the position of the parent companies in the upstream market to the one in which the joint venture will be active (see below). This proportion is potentially subject to change depending on developments in the upstream market. Furthermore, according to the information provided by the notifying parties, the joint venture will maintain commercial relations with its parent companies under normal market conditions5.</w:t>
        <w:br/>
        <w:t>7. Finally, the joint venture will have premises (within the framework of the lease binding it to ADP), human, IT, and financial resources of its own, distinct from those of its parent companies. It will also conduct its activity under its own brand ("Cash Paris Tax Refund") distinct from those of its parent companies.</w:t>
        <w:br/>
        <w:t>8. The joint venture is designed to operate sustainably, as it is established, according to the information provided by the notifying parties, for 8 years (i.e., the duration of the concession provided in the call for tenders launched by ADP).</w:t>
        <w:br/>
        <w:t>9. Given all these elements, the joint venture created by Global Blue and Planet Payment is fully operational, as the European Commission specified in its decision of August 21, 2018, referring the matter to the Competition Authority (hereinafter the Authority)6.</w:t>
        <w:br/>
        <w:t>10. Insofar as it results in the creation of a fully operational joint venture, the notified operation constitutes a concentration within the meaning of Article L. 430-1 of the Commercial Code.</w:t>
        <w:br/>
        <w:t>11. This operation falls under the jurisdiction of the European Union pursuant to Article 1 of Council Regulation (EC) No. 139/2004 on concentrations. Indeed, the concerned companies achieve a total worldwide turnover of more than 5 billion euros (Global Blue: [≥5] billion euros for the fiscal year ending March 31, 2017*; Planet Payment: [≤5] billion euros for the fiscal year ending December 31, 2017*)7. Each of these companies has achieved a turnover in the European Union exceeding 250 million euros (Global Blue: [≥250] million euros for the fiscal year ending March 31, 2017*; Planet Payment: [≥250] million euros for the fiscal year ending December 31, 2017*)8. There is no Member State of the European Union in which either party has achieved more than two-thirds of its turnover realized in the European Union.</w:t>
        <w:br/>
        <w:t xml:space="preserve">12. On July 23, 2018, the parties requested the European Commission, by means of a reasoned memorandum, the total referral of the operation to the Authority, pursuant to Article 4(4) of the aforementioned Council Regulation (EC) No. 139/2004. By a decision of August 21, 2018, the European Commission considered that the conditions for a referral to </w:t>
        <w:br/>
        <w:t>5 This notably arises from the commitments of non-discrimination between tax refund operators made by the parties in their response to the call for tenders, see below.</w:t>
        <w:br/>
        <w:t>6 See in this sense § 9 of decision C(2018) 5663 final: "The operation consists of the creation of a fully operational joint venture within the meaning of Article 3(4) of the regulation on concentrations in that it will sustainably perform, namely for at least eight years, all the functions of an autonomous economic entity."</w:t>
        <w:br/>
        <w:t>7 These turnover figures take into account those of the groups to which the parties belong, namely the Silver Lake group for Global Blue and the Eurazeo company for Planet Payment.</w:t>
        <w:br/>
        <w:t>8 These turnover figures take into account those of the groups to which the parties belong, namely the Silver Lake group for Global Blue and the Eurazeo company for Planet Payment.</w:t>
        <w:br/>
        <w:t>*Corrections of material errors</w:t>
        <w:br/>
        <w:t>3</w:t>
      </w:r>
    </w:p>
    <w:p>
      <w:r>
        <w:rPr>
          <w:b/>
        </w:rPr>
        <w:t>[Pages 4–6]</w:t>
      </w:r>
    </w:p>
    <w:p>
      <w:r>
        <w:t>l'Autorité were gathered. The creation of this fully operational joint venture by Global Blue and Planet Payment is therefore subject, pursuant to point IV of Article L. 430-2 of the Commercial Code, to French merger control.</w:t>
      </w:r>
    </w:p>
    <w:p>
      <w:r>
        <w:t>II. Relevant Markets</w:t>
      </w:r>
    </w:p>
    <w:p>
      <w:r>
        <w:t>13. Tax-free sales refer to sales benefiting from an exemption from VAT on the price of goods purchased by individuals who are not residents of the European Union and are temporarily present9 in its territory (generally tourists). A merchant is free to offer or not to offer eligible travelers the possibility to request a VAT refund on their purchases.</w:t>
      </w:r>
    </w:p>
    <w:p>
      <w:r>
        <w:t>14. The merchant from whom the purchase is made can either provide the tax refund service themselves (the entire administrative process of issuing a voucher and processing its effective reimbursement subject to validation by the customs service) or entrust the management of tax refund operations to a specialized operator ("tax refund operator"), who takes care of all these procedures (from issuing the tax refund voucher to the effective reimbursement of VAT to the traveler) on behalf of the merchant. Regardless of the model chosen (or the timing of the effective reimbursement, see below), the sale is only definitively exempt after the validation of the tax refund voucher by the customs service when the holder of the voucher leaves the territory of the European Union10.</w:t>
      </w:r>
    </w:p>
    <w:p>
      <w:r>
        <w:t>15. The European Commission11 has considered the existence of a market for VAT refund services, on which Global Blue and Planet Payment are simultaneously active (A), and a market for VAT refund services in agencies, on which only the joint venture will be active (B).</w:t>
      </w:r>
    </w:p>
    <w:p>
      <w:r>
        <w:t>A. THE UPSTREAM MARKET FOR VAT REFUND SERVICES</w:t>
      </w:r>
    </w:p>
    <w:p>
      <w:r>
        <w:t>a) The service market</w:t>
      </w:r>
    </w:p>
    <w:p>
      <w:r>
        <w:t>16. The market for VAT refund services, as envisaged by the European Commission, is the market where the demand from merchants wishing to offer their customers the possibility of making "tax-free" purchases meets the service offer from tax refund operators, who handle the procedures related to tax refunds in exchange for a commission calculated based on the amount of the refund ultimately paid to the voucher holder12.</w:t>
      </w:r>
    </w:p>
    <w:p>
      <w:r>
        <w:t>17. According to the parties, merchants can not only choose between different tax refund operators, but they can also choose between outsourcing the management of tax refunds (via a specialized operator) or self-production, by taking charge of the management of this service themselves. They thus consider that merchants opting for self-production should be included in the market for VAT refund services. In its aforementioned decision COMP/M.3762, the European Commission considered that self-production could constitute an alternative to using the services of a tax refund operator, even though it found that most merchants offering their customers the possibility of making tax-free purchases opted for outsourcing the management of tax refunds. In a recent decision13, the UK competition authority (hereinafter "the CMA") noted, on the contrary, that self-production did not exert significant competitive pressure on tax refund operators. However, it left the question of the exact definition of this market open.</w:t>
      </w:r>
    </w:p>
    <w:p>
      <w:r>
        <w:t>18. In the same decision, the CMA also considered several segmentations of the market for VAT refund services based on categories of merchants14.</w:t>
      </w:r>
    </w:p>
    <w:p>
      <w:r>
        <w:t>19. In this case, the question of the exact definition of the market for VAT refund services can be left open, as the conclusions of the competitive analysis remain unchanged. The effects of the operation will thus be analyzed on the potential overall market for VAT refund services.</w:t>
      </w:r>
    </w:p>
    <w:p>
      <w:r>
        <w:t>b) The geographical market</w:t>
      </w:r>
    </w:p>
    <w:p>
      <w:r>
        <w:t>20. The European Commission has considered that the market for VAT refund services may be of national dimension, while leaving the question open15.</w:t>
      </w:r>
    </w:p>
    <w:p>
      <w:r>
        <w:t>21. The parties propose to retain a national dimension for the market.</w:t>
      </w:r>
    </w:p>
    <w:p>
      <w:r>
        <w:t>22. In this case, the question of the exact dimension of the market for VAT refund services can be left open. The effects of the operation will thus be analyzed on a national market for VAT refund services.</w:t>
      </w:r>
    </w:p>
    <w:p>
      <w:r>
        <w:t>B. THE DOWNSTREAM MARKET FOR VAT REFUND SERVICES IN AGENCIES</w:t>
      </w:r>
    </w:p>
    <w:p>
      <w:r>
        <w:t>a) The service market</w:t>
      </w:r>
    </w:p>
    <w:p>
      <w:r>
        <w:t>23. The final step in the tax refund process for the traveler consists of the effective reimbursement of VAT. The parties recall that there are several modes of reimbursement: "after validation by the customs service of the voucher, it is possible to obtain:</w:t>
      </w:r>
    </w:p>
    <w:p>
      <w:r>
        <w:t>o an immediate refund at a "point of exit" from the country (mainly airport), by going to a refund point to obtain a cash refund or via an electronic payment method;</w:t>
      </w:r>
    </w:p>
    <w:p>
      <w:r>
        <w:t>o a deferred refund:</w:t>
        <w:br/>
        <w:t> by sending the voucher by post to the tax refund operator, or by depositing it at the refund point located at a point of exit from the country, to obtain a refund by bank transfer or check (or other non-cash means);</w:t>
      </w:r>
    </w:p>
    <w:p>
      <w:r>
        <w:t>13 Decision ME/6707-17, Anticipated acquisition by Fintrax Group Holdings Limited of GB Tax Free Limited, dated November 14, 2017.</w:t>
      </w:r>
    </w:p>
    <w:p>
      <w:r>
        <w:t>14 The CMA thus considered segmenting between "international" merchants, present in several countries, merchants seeking integrated services combining tax refund services and other payment services, and small and medium-sized merchants.</w:t>
      </w:r>
    </w:p>
    <w:p>
      <w:r>
        <w:t>15 The aforementioned decision COMP/M.3762.</w:t>
      </w:r>
    </w:p>
    <w:p>
      <w:r>
        <w:t>4</w:t>
      </w:r>
    </w:p>
    <w:p>
      <w:r>
        <w:t> by proceeding with an electronic validation of the tax refund voucher with the customs service via PABLO16, and provided that the tourist has submitted their credit card or electronic wallet details. The automatic refund by the tax refund operator ("auto refund") is effective within a few weeks;</w:t>
      </w:r>
    </w:p>
    <w:p>
      <w:r>
        <w:t>o the subsequent in-store refund by the merchant themselves ("cash in store"), when the tourist returns to the store after customs validation (typically during a new stay).</w:t>
      </w:r>
    </w:p>
    <w:p>
      <w:r>
        <w:t>Before the validation by the customs service of the voucher, the tourist may in certain cases17 benefit from the following refund methods ("early refund"):</w:t>
      </w:r>
    </w:p>
    <w:p>
      <w:r>
        <w:t>o an in-store refund by the merchant (possibly involving a tax refund operator) from whom the purchase qualifying for the tax refund was made;</w:t>
      </w:r>
    </w:p>
    <w:p>
      <w:r>
        <w:t>o a refund from a refund point located in city centers."18</w:t>
      </w:r>
    </w:p>
    <w:p>
      <w:r>
        <w:t>24. The parties also recall that early refunds (before validation of the voucher by the customs service) are minority compared to refunds after validation of the voucher.</w:t>
      </w:r>
    </w:p>
    <w:p>
      <w:r>
        <w:t>25. The operation of effective VAT reimbursement, particularly when it involves a "counter" activity (typically, in the case of refunds at the point of exit from the concerned territory) is an activity that tax refund operators (active in the upstream market for VAT refund services) are likely to outsource.</w:t>
      </w:r>
    </w:p>
    <w:p>
      <w:r>
        <w:t>26. This activity consists, according to the European Commission, of verifying the validity and authenticity of the tax refund voucher, if necessary, paying the amounts corresponding to the VAT to its holder, and returning the voucher to the tax refund operator that issued it19. Tax refund agencies also engage in the collection of vouchers, in cases where travelers have opted for a deferred VAT refund. They may also, alongside their tax refund activity, carry out currency exchange operations to offer travelers the possibility of obtaining a refund in foreign currency.</w:t>
      </w:r>
    </w:p>
    <w:p>
      <w:r>
        <w:t>27. The market for VAT refund services in agencies, as envisaged by the European Commission in its aforementioned decision COMP/M.3762, is therefore the market where the demand from tax refund operators, who wish to outsource the agency refund service, meets the service offer from operators (for example, currency exchange agents), who have a physical counter and take charge of the effective reimbursement of travelers' tax refund vouchers, in exchange for the payment of a commission.</w:t>
      </w:r>
    </w:p>
    <w:p>
      <w:r>
        <w:t>28. Although the exact definition of the market has been left open by the European Commission, it notably considered that the regular organization of calls for tenders aimed at granting an operator the exercise of this service within certain infrastructures (airports)</w:t>
      </w:r>
    </w:p>
    <w:p>
      <w:r>
        <w:rPr>
          <w:b/>
        </w:rPr>
        <w:t>[Pages 7–9]</w:t>
      </w:r>
    </w:p>
    <w:p>
      <w:r>
        <w:t>notably) aimed to demonstrate that this was indeed a distinct service market. It also reiterated this analysis in its decision to refer the present case to the Authority20.</w:t>
      </w:r>
    </w:p>
    <w:p>
      <w:r>
        <w:t>29. In this case, the question of the exact definition of the market for VAT refund agency services can be left open. The effects of the operation will thus be analyzed on the overall market for VAT refund agency services.</w:t>
      </w:r>
    </w:p>
    <w:p>
      <w:r>
        <w:t>b) The geographical market</w:t>
      </w:r>
    </w:p>
    <w:p>
      <w:r>
        <w:t>30. The European Commission considered that the market for VAT refund agency services could be of a local dimension, limited to a specific location (notably a city or an airport)21.</w:t>
      </w:r>
    </w:p>
    <w:p>
      <w:r>
        <w:t>31. The parties propose to adopt a local dimension of the market, corresponding to the practice of the European Commission.</w:t>
      </w:r>
    </w:p>
    <w:p>
      <w:r>
        <w:t>32. The method of allocation (tender) and regulation (concessions by the airport managing authority) of the VAT refund agency activity at the airport supports such a definition of this market. In this case, the joint venture will be created as part of the parties' response to the tender launched by ADP covering two distinct lots (Paris-Orly and Paris-Roissy).</w:t>
      </w:r>
    </w:p>
    <w:p>
      <w:r>
        <w:t>33. In this case, the question of the exact dimension of the market for VAT refund agency services can be left open. The effects of the operation will thus be analyzed on local markets corresponding on the one hand to the Paris-Orly airport and on the other hand to the Paris-Roissy airport.</w:t>
      </w:r>
    </w:p>
    <w:p>
      <w:r>
        <w:t>III. Competitive analysis</w:t>
      </w:r>
    </w:p>
    <w:p>
      <w:r>
        <w:t>34. The operation does not result in any overlap of activity between the parties and the joint venture, either in the markets for VAT refund agency services at Paris-Orly and Paris-Roissy, where only the joint venture will be active following the operation, or in the market for VAT refund agency services in Paris intra-muros, where only the parent companies are active.</w:t>
      </w:r>
    </w:p>
    <w:p>
      <w:r>
        <w:t>35. Some respondents to the market test regarding the commitments proposed by the parties (see below) nevertheless indicated that the VAT refund agency activity within the Paris airports could exert competitive pressure on operators conducting this activity in Paris intra-muros. In any case, the entity formed by the joint venture and its parent companies following the operation will occupy a position comparable to that previously held by Travelex22, and thus the structure of competition will not be altered, in this respect, by the operation.</w:t>
      </w:r>
    </w:p>
    <w:p>
      <w:r>
        <w:t>20 Decision C(2018) 5663, cited above.</w:t>
      </w:r>
    </w:p>
    <w:p>
      <w:r>
        <w:t>21 Decision COMP/M.3762 cited above, paragraphs 16 and 18: "The parties have submitted that, in case there is a market for VAT refund agency services, the scope of the market is limited to a specific location (e.g. city or airport). […] As regards the geographic market definition, replies to the market investigation mostly support the parties’ views given that the agency agreement is limited to a specific location."</w:t>
      </w:r>
    </w:p>
    <w:p>
      <w:r>
        <w:t>22 Prior to the operation, Travelex held a de facto monopoly in the markets for VAT refund agency services in the Paris airports and conducted VAT refund agency activities in Paris intra-muros. Following the operation, it will continue to conduct a residual activity within the Paris airports and will still be present in Paris intra-muros.</w:t>
      </w:r>
    </w:p>
    <w:p>
      <w:r>
        <w:t>36. In the absence of horizontal effects resulting from the operation, the vertical effects of the operation (A) and the risk of coordination among the parent companies (B) will be examined successively.</w:t>
      </w:r>
    </w:p>
    <w:p>
      <w:r>
        <w:t>A. VERTICAL EFFECTS</w:t>
      </w:r>
    </w:p>
    <w:p>
      <w:r>
        <w:t>37.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The decisional practice generally excludes lock-in risks when the share of the company resulting from the operation in the relevant markets does not exceed 30%.</w:t>
      </w:r>
    </w:p>
    <w:p>
      <w:r>
        <w:t>38. In this case, due to the quasi-monopolistic position of the joint venture in the downstream market for VAT refund agency services at Paris-Orly and Paris-Roissy, such effects must be examined solely in the upstream market for services related to VAT refunds.</w:t>
      </w:r>
    </w:p>
    <w:p>
      <w:r>
        <w:t>39. Following the operation, the joint venture will operate agencies representing approximately […] of the tax-free transaction volumes within the Paris airports and will offer its services to its parent companies and their competitors active in the upstream market. Furthermore, the agencies it operates will be located in terminals concentrating the most travelers likely to have made tax-free purchases, within which it will benefit from a de facto monopoly23. It would therefore theoretically be able to deprive the competitors of its parent companies of access to the VAT refund service at the airport or significantly degrade the service provided to them, notably by increasing its rates.</w:t>
      </w:r>
    </w:p>
    <w:p>
      <w:r>
        <w:t>40. Given the importance of the VAT refund service at the airport, the parties could be incentivized to implement such practices, detrimental to their competitors in the upstream market, via the joint venture.</w:t>
      </w:r>
    </w:p>
    <w:p>
      <w:r>
        <w:t>41. Several respondents to the market test regarding the commitments proposed by the parties (see below) notably mentioned the possibility that the joint venture could adopt discriminatory behaviors towards the competitors of its parent companies, thus corroborating the existence of such a risk. The parties themselves indicated in the notification file: "It should be noted that a poor-quality refund service is likely to affect tourist satisfaction and the image of the tax refund operator, as well as the number of refunded vouchers."</w:t>
      </w:r>
    </w:p>
    <w:p>
      <w:r>
        <w:t>42. Nevertheless, the elements gathered during the investigation demonstrate, as noted by the European Commission in the aforementioned decision COMP/M.3762, that the risks of lock-in in the downstream market or discriminatory pricing practices can, a priori, be excluded due to the control exercised by ADP over the modalities of the joint venture's activity.</w:t>
      </w:r>
    </w:p>
    <w:p>
      <w:r>
        <w:t>23 According to the terms of the consultation file provided by ADP as part of the tender (emphasis added): "This consultation concerns the tax refund activity for the terminals described in Annex 8 of the commercial, technical, and financial file. These terminals represent approximately […] of the tax-free transaction volume to date. It is specified that the tax refund activity for the other terminals of Paris-Orly and Paris-Charles de Gaulle, where the volume of vouchers to be processed is less significant, will be operated by the currency exchange operator."</w:t>
      </w:r>
    </w:p>
    <w:p>
      <w:r>
        <w:t>43. Firstly, the joint venture will be contractually obligated to accept and process all tax refund vouchers, regardless of the tax refund operator that issued them, in compliance with the principles of fair treatment and non-discrimination. This obligation arises from the lease provisions24 binding ADP to the joint venture: [Confidential]25[Confidential]26</w:t>
      </w:r>
    </w:p>
    <w:p>
      <w:r>
        <w:t>44. Secondly, ADP will have the means to monitor the joint venture's compliance with its commitments regarding the absence of discriminatory practices against the competitors of its parent companies. ADP will notably have extensive audit powers27 (document communication, in-depth audits) allowing it to ensure the joint venture's effective compliance with the commitments of non-discrimination made in its response to the tender.</w:t>
      </w:r>
    </w:p>
    <w:p>
      <w:r>
        <w:t>45. In the event of non-compliance by the joint venture with the principles of fair and non-discriminatory treatment of the various tax refund operators, ADP could initiate a termination procedure for breach of the lease concluded with the joint venture.</w:t>
      </w:r>
    </w:p>
    <w:p>
      <w:r>
        <w:t>46. During the investigation, ADP confirmed in writing in its response of December 18, 2018, to the questionnaire from the investigation services dated December 13, 2018, that it would exercise its audit powers and, if necessary, impose sanctions. [Confidential]28</w:t>
      </w:r>
    </w:p>
    <w:p>
      <w:r>
        <w:t>47. Furthermore, the parties and ADP indicated during the investigation that the motivation for the tender was to improve the quality of service provided to travelers holding tax refund vouchers transiting through the Paris airports. This is evident from the letter itself of the consultation file drafted by ADP as part of the tender: [confidential]</w:t>
        <w:br/>
        <w:t>- [Confidential];</w:t>
        <w:br/>
        <w:t>- [Confidential];</w:t>
        <w:br/>
        <w:t>- [Confidential].</w:t>
      </w:r>
    </w:p>
    <w:p>
      <w:r>
        <w:t>48. It follows from these elements that ADP has a direct interest in ensuring that the joint venture does not adopt discriminatory behavior towards third-party tax refund operators. [Confidential]. Moreover, if holders of vouchers issued by third-party operators faced degraded service, or even the impossibility of having their vouchers refunded within the Paris airports, they might consider that the services offered by ADP within its airports are unsatisfactory. This could undermine ADP's strategy to attract international travelers, which is compared to other airport operators notably based on traveler satisfaction indices (see above). ADP will therefore be incentivized to exercise its control powers.</w:t>
      </w:r>
    </w:p>
    <w:p>
      <w:r>
        <w:t>49. It follows from the overall economy of the lease project binding ADP to the joint venture and the commitments made by the parties in response to the tender (to which the 24 In its response of December 18, 2018, to the questionnaire from the investigation services dated December 13, 2018, ADP provided drafts of the lease articles binding it to the joint venture relating to the non-discriminatory treatment of third-party tax refund operators. The notifying parties provided consistent information in their response of December 17, 2018, to the questionnaire from the investigation services dated December 12, 2018. They also confirmed, on December 19, 2018, the integration of these clauses into the final lease. The integration of these clauses into the final lease binding ADP and the joint venture is an essential element of the analysis of the operation notified to the Authority, which requested communication of the final lease when it is signed.</w:t>
        <w:br/>
        <w:t>25 Article 2 of the draft lease, transmitted on December 18, 2018, by ADP in response to the questionnaire from the investigation services dated December 13, 2018.</w:t>
        <w:br/>
        <w:t>26 Article 2 of the draft lease, transmitted on December 18, 2018, by ADP in response to the questionnaire from the investigation services dated December 13, 2018.</w:t>
        <w:br/>
        <w:t>27 Article 10 of the draft lease, transmitted on December 18, 2018, by ADP in response to the questionnaire from the investigation services dated December 13, 2018.</w:t>
        <w:br/>
        <w:t>28 Emphasis added.</w:t>
      </w:r>
    </w:p>
    <w:p>
      <w:r>
        <w:rPr>
          <w:b/>
        </w:rPr>
        <w:t>[Pages 10–12]</w:t>
      </w:r>
    </w:p>
    <w:p>
      <w:r>
        <w:t>the draft lease explicitly refers to and recalls the contractual value between ADP and the joint venture29) that the joint venture: (i) will not be able to enter into exclusive agreements with any tax refund operator; (ii) must treat all tax refund operators fairly and without discrimination; (iii) must be able to demonstrate the effectiveness of this treatment within the framework of audits commissioned by ADP.</w:t>
      </w:r>
    </w:p>
    <w:p>
      <w:r>
        <w:t>50. It follows from the above that the notified operation is not likely to harm competition through vertical effects between the markets for VAT refund services in agencies at Paris-Orly and Paris-Roissy airports and the national market for services related to VAT refunds.</w:t>
      </w:r>
    </w:p>
    <w:p>
      <w:r>
        <w:t>B. THE RISK OF COORDINATION BETWEEN GLOBAL BLUE AND PLANET PAYMENT</w:t>
      </w:r>
    </w:p>
    <w:p>
      <w:r>
        <w:t>51. In accordance with the decision-making practice of the European Commission, adopted by national competition authorities30, the creation of a joint venture is also likely to lead to a risk of coordination between the parent companies when the following three cumulative conditions are met: the risk of coordination must have a direct causal link with the creation of the joint venture, the coordination must be sufficiently plausible, and the coordination must have a significant effect on competition.</w:t>
      </w:r>
    </w:p>
    <w:p>
      <w:r>
        <w:t>52. The Competition Council considered, in opinion no. 07-A-09 mentioned above, that such coordination may indeed be more evident if the parent companies and their joint subsidiary are present in the same markets, but it cannot be excluded a priori when the parent companies are present in a market distinct from that of their joint venture, as multi-market contact between companies may also facilitate the coordination of their behaviors. The guidelines of the Competition Authority regarding the control of concentrations (hereinafter the "guidelines") explicitly mention the existence of such a risk when the parent companies are active in markets vertically related to those in which the joint venture is active (paragraph 525).</w:t>
      </w:r>
    </w:p>
    <w:p>
      <w:r>
        <w:t>53. In the case at hand, as indicated above, the parent companies of the joint venture are active in the upstream market for services related to VAT refunds, and the joint venture will be active in the downstream market for VAT refund services in agencies at Paris-Orly and Paris-Roissy airports.</w:t>
      </w:r>
    </w:p>
    <w:p>
      <w:r>
        <w:t>1. POSITION OF THE NOTIFYING PARTIES</w:t>
      </w:r>
    </w:p>
    <w:p>
      <w:r>
        <w:t>54. The parties emphasized that the creation of the joint venture could not give rise to a risk of coordination due to the limited nature, both in terms of geographical coverage and business volume, of the joint venture's activity compared to that of its parent companies. They notably highlighted that the joint venture would represent an "infinitesimal" share of their global turnover and that the agency refund service did not constitute a determining element of the commercial policy of tax refund operators in the upstream market.</w:t>
      </w:r>
    </w:p>
    <w:p>
      <w:r>
        <w:t>55. The parties also indicated that any hypothetical coordination between them would not be plausible due to the separation between the activities of the joint venture and those of its parent companies.</w:t>
      </w:r>
    </w:p>
    <w:p>
      <w:r>
        <w:t>56. They finally pointed out that in the event of implementing a hypothetical coordination strategy, their clients in the upstream market had significant countervailing power ensuring them a substantial capacity to react. They notably argued that large merchants were able to internalize the service offered by tax refund operators in the event of a degradation of the services provided or an increase in prices, citing in particular the case [Confidential].</w:t>
      </w:r>
    </w:p>
    <w:p>
      <w:r>
        <w:t>2. ASSESSMENT IN THE CASE AT HAND</w:t>
      </w:r>
    </w:p>
    <w:p>
      <w:r>
        <w:t>57. The guidelines specify (paragraph 527): "The causal link can be established if the activity of the joint venture is of essential importance for the markets in which the parent companies are active. However, it cannot be excluded that, in certain cases, other factors may be the source of increased interdependence between the parent companies."</w:t>
      </w:r>
    </w:p>
    <w:p>
      <w:r>
        <w:t>58. Although the activity of the joint venture is indeed, in geographical terms as well as in terms of business volume, secondary compared to the activity of its parent companies, the refund activity it will undertake offers it the possibility of obtaining detailed information on the functioning of the upstream market. Indeed, the activity of the joint venture could allow it to obtain, through the individual information contained in the tax refund vouchers (identity of the merchant and the tax refund operator, amount of the transaction, amount of the refund...) that it is required to process, detailed information on the behavior of most operators active in the upstream market.</w:t>
      </w:r>
    </w:p>
    <w:p>
      <w:r>
        <w:t>59. This information, if shared with its parent companies, could lead them to a common assessment of the market in which they are active and promote competitive coordination of their behaviors. Indeed, access to this information could allow for a fine understanding of the evolution of the respective positions of operators in the market for services related to tax refunds and confer a strategic advantage to Global Blue and Planet Payment. Furthermore, such information could also enable them to ensure the joint implementation of coordinated behaviors.</w:t>
      </w:r>
    </w:p>
    <w:p>
      <w:r>
        <w:t>60. The guidelines also specify (paragraph 531): "The coordination of the parent companies of a joint venture will be all the more plausible if the parent companies can easily reach a common assessment of the modalities of coordination, and if the existence of the joint venture allows them to easily monitor each other."</w:t>
      </w:r>
    </w:p>
    <w:p>
      <w:r>
        <w:t>61. Due to the weight of Parisian airports in French international air traffic and the size of the markets for tax refund services in Parisian airports31,</w:t>
      </w:r>
    </w:p>
    <w:p>
      <w:r>
        <w:t>31 According to the data provided by the parties, the markets for tax refund services in agencies within Paris-Orly and Paris-Roissy airports represent […] of refunded vouchers and approximately […] of collected vouchers (volumes processed by Travelex within Parisian airports in 2017). However, in 2017, the upstream market for services related to VAT refunds in France represents approximately […] of issued vouchers (in 2017). While these two data points cannot be directly compared (since vouchers issued to the joint venture may have been refunded by Travelex within Parisian airports), it can be inferred that a significant share of the vouchers issued in France is likely processed within Parisian airports. It would notably process, through its refund and collection activities, approximately […] of the vouchers issued in France by the parties32. The volume of information accessible through the joint venture would ensure a significant degree of reliability of the information related to the upstream market, making the establishment of a coordination mechanism between its parent companies based on a shared assessment of the market plausible.</w:t>
      </w:r>
    </w:p>
    <w:p>
      <w:r>
        <w:t>62. These elements could support the hypothesis of a risk of coordination between the parent companies of the joint venture.</w:t>
      </w:r>
    </w:p>
    <w:p>
      <w:r>
        <w:t>63. Finally, some respondents to the market test indicated that the rapprochement between the parties induced by the creation of the joint venture in a vertically related market could lead them to coordinate their behaviors to the detriment of their competitors.</w:t>
      </w:r>
    </w:p>
    <w:p>
      <w:r>
        <w:t>64. Such elements would tend to demonstrate that such coordination could have significant effects on the competitors of the parties.</w:t>
      </w:r>
    </w:p>
    <w:p>
      <w:r>
        <w:t>65. However, there is no need, in this case, to further characterize the potential risk of coordination of the parent companies that may arise from the notified operation, as the parties have proposed commitments aimed at preventing this type of risk.</w:t>
      </w:r>
    </w:p>
    <w:p>
      <w:r>
        <w:t>IV. Commitments</w:t>
      </w:r>
    </w:p>
    <w:p>
      <w:r>
        <w:t>66. In order to prevent any risk of harm to competition arising from a potential coordination of their competitive behaviors through the joint venture, the parties submitted, on November 21, 2018, a proposal for commitments, which were subject to a market test with their main competitors.</w:t>
      </w:r>
    </w:p>
    <w:p>
      <w:r>
        <w:t>67. The full text of these commitments, attached as an annex, forms an integral part of this decision.</w:t>
      </w:r>
    </w:p>
    <w:p>
      <w:r>
        <w:t>A. THE PROPOSED COMMITMENTS</w:t>
      </w:r>
    </w:p>
    <w:p>
      <w:r>
        <w:t>68. The parties have committed to establishing a strict separation of the information accessible to the joint venture due to its activity and that may present strategic interest for its parent companies in the upstream market in which they are active.</w:t>
      </w:r>
    </w:p>
    <w:p>
      <w:r>
        <w:rPr>
          <w:b/>
        </w:rPr>
        <w:t>[Pages 13–15]</w:t>
      </w:r>
    </w:p>
    <w:p>
      <w:r>
        <w:t>69. They have therefore committed to ensuring that, under no circumstances, the representatives of the partners within the joint venture can access individual information relating to the tax refund vouchers processed by the joint venture. Furthermore, the representatives of the partners will be subject to confidentiality agreements covering information related to the activities of the joint venture to which they may have access in the course of their duties.</w:t>
      </w:r>
    </w:p>
    <w:p>
      <w:r>
        <w:t>70. The notifying parties have also committed to establishing a strict separation between the management teams of the joint venture and their own. Consequently, the managers of the joint venture cannot be employees or corporate officers of the companies in the groups to which its partners belong, nor can they be a legal entity belonging to one of these groups. The manager and the staff of the joint venture will be subject to confidentiality agreements aimed at preventing the transmission of operational information to the representatives of the partners or to the partners themselves.</w:t>
      </w:r>
    </w:p>
    <w:p>
      <w:r>
        <w:t>71. However, the commitments provide for an exception to this principle of separation of management teams during the start-up period of the joint venture's activity defined as a period of […] from the first sale generating revenue made by the company (see below, paragraph 84). During this period, the managers of the company may have links with the parent companies of the joint venture33. As a result, the parties have committed to ensuring that during this period the managers cannot, under any circumstances, access information relating to the vouchers and are, furthermore, subject to a specific confidentiality agreement.</w:t>
      </w:r>
    </w:p>
    <w:p>
      <w:r>
        <w:t>72. The parties have also committed to ensuring that no copies of the tax refund vouchers are retained by the joint venture following their processing. They have also committed to ensuring that no individual information relating to the merchants from whom purchases were made or the amounts of transactions carried out is recorded within the joint venture.</w:t>
      </w:r>
    </w:p>
    <w:p>
      <w:r>
        <w:t>73. The parties have committed to ensuring that the tangible and intangible resources of the joint venture are distinct from those of its parent companies and, in particular, that the IT tools of the joint venture are not accessible to the parties or their representatives.</w:t>
      </w:r>
    </w:p>
    <w:p>
      <w:r>
        <w:t>74. Finally, the parties have committed to transmitting the shareholders' agreement and the company's bylaws to the Authority in the event of any modifications to these during the duration of the commitments.</w:t>
      </w:r>
    </w:p>
    <w:p>
      <w:r>
        <w:t>75. The implementation of these measures will be subject to a report prepared by a representative approved by the Authority upon proposal by the parties. The parties have committed to providing a list of independent individuals likely to perform the functions of representative in the […] from the start of the joint venture's activity.</w:t>
      </w:r>
    </w:p>
    <w:p>
      <w:r>
        <w:t>76. These commitments are made until the expiration of the lease concluded between the parties or the joint venture and ADP, for a minimum duration of 8 years.</w:t>
      </w:r>
    </w:p>
    <w:p>
      <w:r>
        <w:t>33 The parties indicated that during the start-up period, two managers would be appointed, one by Global Blue and the other by Planet Payment, and that these managers would be part of the management teams of the parent companies.</w:t>
      </w:r>
    </w:p>
    <w:p>
      <w:r>
        <w:t>B. ASSESSMENT OF THE COMMITMENTS</w:t>
      </w:r>
    </w:p>
    <w:p>
      <w:r>
        <w:t>77. In accordance with the provisions of the aforementioned guidelines, the Authority primarily seeks structural measures to remedy the risks of harm to competition. However, to the extent that a behavioral remedy appears more appropriate in this case to prevent the risks of harm to competition resulting from the operation, it is necessary to define such a remedy in a way that ensures its effectiveness and controllability.</w:t>
      </w:r>
    </w:p>
    <w:p>
      <w:r>
        <w:t>78. Indeed, regardless of the nature of the proposed measures, they must be effective in fully remedying the identified harms to competition. To this end, their implementation must not raise any doubts, which implies that they should be drafted in a sufficiently clear and precise manner and that the operational modalities for their realization should be sufficiently detailed to ensure monitoring. Their implementation must also be swift, as competition is not preserved as long as they are not realized.</w:t>
      </w:r>
    </w:p>
    <w:p>
      <w:r>
        <w:t>79. Finally, the proposed commitments must be controllable so that the Authority can ensure their effective implementation.</w:t>
      </w:r>
    </w:p>
    <w:p>
      <w:r>
        <w:t>80. In this case, the commitments proposed by the parties will eliminate any risk of coordination among the parent companies of the joint venture through its activity and notably through the information related to the upstream market to which it may have access.</w:t>
      </w:r>
    </w:p>
    <w:p>
      <w:r>
        <w:t>81. The parties have indeed committed to ensuring that their representatives within the company only have access to: "the only information whose communication is strictly necessary for the adoption of decisions falling within the competence of the Management Committee and the General Assembly of Partners." Primarily, they have committed to ensuring that the individual information contained in the vouchers processed by the company is in no case accessible to them. Indeed, the tax refund vouchers contain a number of pieces of information that could allow an operator with access to acquire a detailed understanding of the situation and developments in the market for services related to tax refunds. In the case of the joint venture, as recalled above, such shared information could lead the parent companies of the joint venture to establish a shared perception of the market in which they are active and to coordinate their behaviors. This information notably includes: (i) the merchants from whom purchases were made, (ii) the amount of purchases made, (iii) the date of tax refund operations, (iv) the identity of the tax refund operator, or (v) the final amount refunded. The parties have committed not to access this information. Consequently, they will not be able to use the joint venture as a source of strategic information regarding the market in which they are active, nor as a means of mutually ensuring compliance with coordinated behavior.</w:t>
      </w:r>
    </w:p>
    <w:p>
      <w:r>
        <w:t>82. This commitment is reflected both in the non-communication to the representatives of the parties of individual information relating to the vouchers, but also in the strict separation between the management teams of the joint venture and the parties. This separation helps to limit the risk of information transmission and avoids situations of dual membership in which confidentiality agreements could be too easily circumvented to eliminate any risk of harm to competition.</w:t>
      </w:r>
    </w:p>
    <w:p>
      <w:r>
        <w:t>83. These commitments are designed to ensure that sensitive information related to the upstream market will not be accessible to the parent companies of the joint venture and, therefore, guarantee that they will not enable the implementation of coordinated competitive behavior.</w:t>
      </w:r>
    </w:p>
    <w:p>
      <w:r>
        <w:t>84. When assessing the commitments proposed by the parties, the Authority ensures their proportionality to the risks of harm to competition that it has identified. In this case, the parties have proposed a derogation from the principle of separation of management teams during the start-up period of the company's activity. They have notably indicated the difficulty of immediately entrusting the activity to a third party and the necessity of ensuring the credibility of the management of the joint venture at its launch. To the extent that this derogatory period has appeared justified by the circumstances of the case, that it is strictly time-bound […] non-renewable, i.e., less than a full fiscal year) and that the parties have presented a complementary commitment providing that, in any case, during this period, the managers will not have access to individual information relating to the vouchers processed by the company, the Authority has considered that this mechanism is not likely to deprive the commitments of their useful effect.</w:t>
      </w:r>
    </w:p>
    <w:p>
      <w:r>
        <w:t>85. The parties have made complementary commitments regarding the separation of the tangible and intangible resources of the joint venture from those of its parents and the non-retention of certain data within the joint venture, which ensure the effective implementation of the information compartmentalization provided for by the commitments.</w:t>
      </w:r>
    </w:p>
    <w:p>
      <w:r>
        <w:t>86. These commitments ensure that, in the daily management of the company, the compartmentalization of information will be effectively guaranteed and implemented.</w:t>
      </w:r>
    </w:p>
    <w:p>
      <w:r>
        <w:t>87. The parties have committed to translating all of these commitments into the founding documents of the joint venture, and the Authority will be informed of any modifications to these documents. Finally, the appointment of a representative responsible for preparing a detailed report on the concrete measures implemented in the daily operation of the company to ensure compliance with the commitments made will allow for monitoring by the Authority.</w:t>
      </w:r>
    </w:p>
    <w:p>
      <w:r>
        <w:t>88. Consequently, the Authority considers that the commitments proposed by the notifying parties are sufficient to prevent the risks of harm to competition resulting from the operation.</w:t>
      </w:r>
    </w:p>
    <w:p>
      <w:r>
        <w:t>DECIDES</w:t>
      </w:r>
    </w:p>
    <w:p>
      <w:r>
        <w:t>Single Article: The operation notified under number 18-140 is authorized subject to the commitments described above and annexed to this decision.</w:t>
      </w:r>
    </w:p>
    <w:p>
      <w: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