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https://www.autoritedelaconcurrence.fr/fr/decision-de-controle-des-concentrations/relative-la-creation-dune-entreprise-commune-par-les-6</w:t>
      </w:r>
    </w:p>
    <w:p>
      <w:r>
        <w:t>Pages translated : 5</w:t>
      </w:r>
    </w:p>
    <w:p/>
    <w:p>
      <w:r>
        <w:rPr>
          <w:b/>
        </w:rPr>
        <w:t>[Pages 1–3]</w:t>
      </w:r>
    </w:p>
    <w:p>
      <w:r>
        <w:t xml:space="preserve">FRENCH REPUBLIC  </w:t>
        <w:br/>
        <w:t xml:space="preserve">Decision No. 17-DCC-89 of June 23, 2017  </w:t>
        <w:br/>
        <w:t xml:space="preserve">regarding the creation of a joint venture by the companies  </w:t>
        <w:br/>
        <w:t xml:space="preserve">Semmaris and Poste Immo  </w:t>
        <w:br/>
        <w:t xml:space="preserve">The Competition Authority,  </w:t>
        <w:br/>
        <w:t xml:space="preserve">Having regard to the notification file submitted in full to the concentrations service on June 17, 2017,  </w:t>
        <w:br/>
        <w:t xml:space="preserve">regarding the creation of a joint venture by the companies Semmaris and Poste Immo,  </w:t>
        <w:br/>
        <w:t xml:space="preserve">formalized by a memorandum of understanding dated May 11, 2017;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Semmaris is primarily active in the development, management, and operation of the national interest market of the Paris region (hereinafter "MIN Rungis"), and marginally offers consulting and development services. Semmaris is owned by the French State (33.3%), Altarea Cogedim (33.3%), the City of Paris (13.2%), the Val-de-Marne department (5.6%), the Caisse des dépôts et consignations (4.6%), and various other shareholders.  </w:t>
        <w:br/>
        <w:t xml:space="preserve">2. Poste Immo, a subsidiary of the La Poste group, engages in real estate activities for the La Poste group, as a developer and provider of real estate services aimed almost exclusively at the branches of the La Poste group. Poste Immo manages, develops, maintains, and enhances a portfolio of approximately 6.4 million m² representing over 11,300 tertiary, industrial, and commercial buildings across the territory. Poste Immo also offers a range of services to local authorities and businesses. La Poste is 73.7% owned by the French State and 26.3% by the Caisse des dépôts et consignations (itself a public institution owned by the State).  </w:t>
        <w:br/>
        <w:t xml:space="preserve">3. The notified operation, formalized by a memorandum of understanding dated May 11, 2017, to which a draft shareholders' agreement is annexed, consists of the creation of a joint venture and its two subsidiaries named respectively Lumin’ Toulouse, MIN Toulouse Occitanie, and Toulouse Logistique Urbaine, which aim to manage and operate a public service delegated by Toulouse Métropole: the national interest market (hereinafter "MIN") and the last mile logistics zone (hereinafter "Zone LU"), for a duration of twenty-two years starting from July 1, 2017.  </w:t>
        <w:br/>
        <w:t xml:space="preserve">4. Lumin’Toulouse will constitute a joint venture sustainably performing all the functions of an autonomous economic entity.  </w:t>
        <w:br/>
        <w:t xml:space="preserve">5. Indeed, it will be jointly controlled by Semmaris and Poste Immo, which will hold 51% and 44% of the company's capital, respectively. The remaining 5% will be held by the company Caisse d’Épargne de Midi-Pyrénées (hereinafter, "CEMP"). The draft shareholders' agreement between Semmaris, Poste Immo, and CEMP provides that the joint venture will be managed by a strategic committee, which will notably be competent to adopt the business plans, the development projects of the activity subject to the public service delegation contract (hereinafter "DSP") beyond its current territorial limits, the budget of the new entity, the investments, and the substantial modification and renewal of the DSP contract. The strategic committee will be composed of [confidential] members: five members will be appointed by Semmaris, [confidential] members will be appointed by Poste Immo, and [confidential] member will be appointed by CEMP. Ordinary decisions of the strategic committee must be adopted by at least [confidential] members, each member of the strategic committee having one vote. Consequently, Semmaris's agreement will always be required to adopt strategic decisions within the strategic committee. Major decisions of the strategic committee must be adopted by at least [confidential] members, including at least one favorable vote from a member representing Poste Immo. The draft shareholders' agreement also provides that, at shareholders' meetings, decisions will be validly adopted if at least [confidential] members are present or represented, including at least one member proposed by Poste Immo and Semmaris.  </w:t>
        <w:br/>
        <w:t xml:space="preserve">6. Lumin’Toulouse will itself hold two operating companies, MIN Toulouse Occitane and Toulouse Logistique Urbaine, with respective objects of managing and operating the MIN of Toulouse and managing and operating the Zone LU. [confidential].  </w:t>
        <w:br/>
        <w:t xml:space="preserve">7. Lumin’Toulouse will have sufficient resources to operate independently in the market and notably the structural elements necessary for the functioning of autonomous companies. It will therefore be intended to sustainably perform all the functions of an autonomous economic entity.  </w:t>
        <w:br/>
        <w:t xml:space="preserve">8. Furthermore, the joint venture will be autonomous in that its strategic committee will be responsible for its overall management and will approve the business plans and annual budgets.  </w:t>
        <w:br/>
        <w:t xml:space="preserve">9. Moreover, the joint venture will be actively present in a market insofar as it is tasked with the delegated management of the MIN Toulouse, a market classified as of national interest within the meaning of Articles L. 761-1 and following of the Commercial Code, constituting a public service for market management, offering wholesalers and producers collective management services tailored to the characteristics of certain agricultural and food products, and of the integrated Zone LU, an urban logistics platform for the city of Toulouse.  </w:t>
        <w:br/>
        <w:t xml:space="preserve">10. Finally, the joint venture is established for a duration exceeding three years, specifically for a duration of twenty-two years.  </w:t>
        <w:br/>
        <w:t xml:space="preserve">11. Insofar as it results in the creation of a joint venture intended to sustainably perform all the functions of an autonomous economic entity, the notified operation constitutes a concentration within the meaning of Article L. 430-1 of the Commercial Code.  </w:t>
        <w:br/>
        <w:t xml:space="preserve">12. The companies concerned together achieve a total turnover excluding tax on a global scale of over 150 million euros (Semmaris: 108 million euros for the fiscal year ending December 31, 2016; Poste Immo: 23.3 billion euros for the same fiscal year). Each of these companies achieved a turnover in France exceeding 50 million euros (Semmaris: [...] euros for the fiscal year ending December 31, 2016; Poste Immo: [...] euros for the same fiscal year). Given these turnovers,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and competitive analysis  </w:t>
        <w:br/>
        <w:t xml:space="preserve">1. THE MARKET FOR THE MANAGEMENT AND OPERATION OF NATIONAL INTEREST MARKETS (MIN) AND THEIR INTEGRATED LOGISTICS ZONE.  </w:t>
        <w:br/>
        <w:t xml:space="preserve">13. The Competition Authority and the European Commission have not been called upon to rule on the existence of a market for the management and operation of a national interest market and its integrated logistics zone.  </w:t>
        <w:br/>
        <w:t xml:space="preserve">14. MINs are defined in Article L. 761-1 of the Commercial Code as wholesale food markets adapted to the characteristics of certain agricultural and food products, reserved for producers and traders, to whom the public authorities have granted a particular public service status because they meet objectives of land use planning, improvement of environmental quality, and food safety.  </w:t>
        <w:br/>
        <w:t xml:space="preserve">15. The French territory has seventeen MINs located near major communication routes and large cities.  </w:t>
        <w:br/>
        <w:t xml:space="preserve">16. Each MIN has an integrated logistics zone attached to it, which can be a last mile zone characterized notably by the use of delivery vehicles in "soft mode" for urban deliveries. These spaces may include appropriate platforms intended to accommodate vehicles adapted to the access constraints and regulations specific to each city and metropolis, in order to deliver parcels and dry, fresh, and cold products.  </w:t>
        <w:br/>
        <w:t xml:space="preserve">17. The development and management of MINs are generally ensured by the municipalities (or groups of municipalities) in the territory where they are located, or in the form of a mixed economy company (hereinafter "SEM"). Municipalities may also delegate the management of this public service.  </w:t>
        <w:br/>
        <w:t xml:space="preserve">18. The management and operation of MINs and integrated logistics zones include the technical operation of all installations and equipment comprising the delegated works (the control of construction and maintenance, upkeep, and repair of infrastructures) and the operation and marketing of the delegated works.  </w:t>
        <w:br/>
        <w:t>1 "National interest markets are public services for market management offering wholesalers and producers collective management services tailored to the characteristics of certain agricultural and food products. They meet objectives of land use planning, improvement of environmental quality, and food safety. Access to these markets is reserved for producers and traders. The classification of agricultural and food product markets as national interest markets or the creation of such markets is pronounced on the proposal of regional councils by decree. These markets may be located on public domain or private domain of one or more legal entities under public law or on properties belonging to private individuals."</w:t>
      </w:r>
    </w:p>
    <w:p>
      <w:r>
        <w:rPr>
          <w:b/>
        </w:rPr>
        <w:t>[Pages 4–5]</w:t>
      </w:r>
    </w:p>
    <w:p>
      <w:r>
        <w:t xml:space="preserve">19. The manager of a MIN and the integrated logistics area collects revenues consisting notably of fees collected from holders of occupancy authorizations or for the rental of delegated works, revenues from entry fees into the MIN premises, charges re-invoiced to users, parking fees, and ancillary revenues. The rates are established by the manager, generally in agreement with the community, and submitted for the prefect's approval.  </w:t>
        <w:br/>
        <w:t xml:space="preserve">20. In any case, the exact definition of this market can be left open insofar as the conclusions of the competitive analysis will remain unchanged.  </w:t>
        <w:br/>
        <w:t xml:space="preserve">21. Regarding the geographical delimitation of the market, the parties propose to limit the market to each MIN and its integrated logistics area, each MIN and its logistics area having its own organization based on the principles of goods transport regulation adopted by the municipalities and metropolitan areas. Furthermore, on the supply side, the services provided by the MIN manager are intended solely for the users of the MIN. On the demand side, only the users of the MIN have an interest in benefiting from the services provided by the MIN manager, which are moreover linked to the use of a location within the MIN, whether it concerns waste management within the MIN, maintenance of the works, or cleaning of the works.  </w:t>
        <w:br/>
        <w:t xml:space="preserve">22. In any case, the exact delimitation of this market can be left open insofar as the conclusions of the competitive analysis will remain unchanged.  </w:t>
        <w:br/>
        <w:t xml:space="preserve">III. Competitive Analysis  </w:t>
        <w:br/>
        <w:t xml:space="preserve">23. Under the public service delegation contract, Lumin'Toulouse has as its sole purpose the delegated management of the operation of the MIN of Toulouse and the LU zone. Semmaris and Lumin'Toulouse are therefore not present in the same national interest market.  </w:t>
        <w:br/>
        <w:t xml:space="preserve">24. Semmaris and Lumin'Toulouse are also not present in markets that would be upstream or downstream of the markets in which either one is present.  </w:t>
        <w:br/>
        <w:t xml:space="preserve">25. Poste Immo and the La Poste group are not active in the same market as Lumin'Toulouse, nor in the markets located upstream or downstream of the relevant market.  </w:t>
        <w:br/>
        <w:t xml:space="preserve">26. Regarding the upstream market for the granting of management and operation concessions for MIN, the seventeen national interest markets are governed by distinct managers either in the form of public management, through mixed economy companies, or through public service delegations. To date, only two MIN are subject to a public service delegation (in Nantes and Toulouse). The MIN are established by decree and are subsequently governed by management agreements for long durations (30 years) that are renewable. Changes of manager are exceptional and carried out through calls for applications; therefore, the hypothesis of coordination among the parent companies in this market can be ruled out.  </w:t>
        <w:br/>
        <w:t>27. Consequently, the operation is not likely to harm competition, either through coordination of behaviors between the parent companies or through horizontal effects.</w:t>
      </w:r>
    </w:p>
    <w:p>
      <w:r>
        <w:t xml:space="preserve">DECIDES  </w:t>
        <w:br/>
        <w:t xml:space="preserve">Sole Article: The operation notified under number 17-092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