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https://www.autoritedelaconcurrence.fr/fr/decision-de-controle-des-concentrations/relative-la-creation-dune-entreprise-commune-par-les-8</w:t>
      </w:r>
    </w:p>
    <w:p>
      <w:r>
        <w:t>Pages translated : 2</w:t>
      </w:r>
    </w:p>
    <w:p/>
    <w:p>
      <w:r>
        <w:rPr>
          <w:b/>
        </w:rPr>
        <w:t>[Pages 1–2]</w:t>
      </w:r>
    </w:p>
    <w:p>
      <w:r>
        <w:t xml:space="preserve">FRENCH REPUBLIC  </w:t>
        <w:br/>
        <w:t xml:space="preserve">Decision No. 18-DCC-149 of August 28, 2018  </w:t>
        <w:br/>
        <w:t xml:space="preserve">regarding the creation of a joint venture by the companies ITM Entreprises and Arnathie  </w:t>
        <w:br/>
        <w:t xml:space="preserve">The Competition Authority,  </w:t>
        <w:br/>
        <w:t xml:space="preserve">Having regard to the complete notification file sent to the mergers department on August 2, 2018,  </w:t>
        <w:br/>
        <w:t xml:space="preserve">concerning the creation of the joint venture Jemano by the companies ITM Entreprises and Arnathie, and materialized by a promise of store opening dated July 31,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ITM Entreprises and Arnathie of a joint venture named Jemano, which is to operate a retail outlet with a dominant food focus of the hypermarket type, with a surface area of 2,650 m², under the Intermarché brand and located in Villefranche-de-Lauragais (31).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18-178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