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https://www.autoritedelaconcurrence.fr/fr/decision-de-controle-des-concentrations/relative-la-creation-dune-entreprise-commune-par-les-9</w:t>
      </w:r>
    </w:p>
    <w:p>
      <w:r>
        <w:t>Pages translated : 2</w:t>
      </w:r>
    </w:p>
    <w:p/>
    <w:p>
      <w:r>
        <w:rPr>
          <w:b/>
        </w:rPr>
        <w:t>[Pages 1–2]</w:t>
      </w:r>
    </w:p>
    <w:p>
      <w:r>
        <w:t xml:space="preserve">FRENCH REPUBLIC  </w:t>
        <w:br/>
        <w:t xml:space="preserve">Decision No. 18-DCC-199 of November 29, 2018  </w:t>
        <w:br/>
        <w:t xml:space="preserve">regarding the creation of a joint venture by the Carrefour and Planes groups  </w:t>
        <w:br/>
        <w:t xml:space="preserve">The Competition Authority,  </w:t>
        <w:br/>
        <w:t xml:space="preserve">Having regard to the complete notification file submitted to the mergers department on October 31, 2018, concerning the creation of a joint venture named Plane Minervoix by the Carrefour and Planes groups, formalized by a memorandum of understanding dated July 20, 2018, and amended by an addendum dated September 5,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Carrefour and Planes groups of a joint venture named Plane Minervoix, which will operate a food-dominant retail outlet with a service station covering an area of 1,800 m², under the Carrefour Market brand, located in Peyriac Minervoix (11). It constitutes a concentration operation within the meaning of Article L. 430-1 of the Commercial Code. Given the turnover generated by the companies involved,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18-253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