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https://www.autoritedelaconcurrence.fr/fr/decision-de-controle-des-concentrations/relative-la-creation-dune-entreprise-commune-par-veolia-0</w:t>
      </w:r>
    </w:p>
    <w:p>
      <w:r>
        <w:t>Pages translated : 3</w:t>
      </w:r>
    </w:p>
    <w:p/>
    <w:p>
      <w:r>
        <w:rPr>
          <w:b/>
        </w:rPr>
        <w:t>[Pages 1–3]</w:t>
      </w:r>
    </w:p>
    <w:p>
      <w:r>
        <w:t xml:space="preserve">FRENCH REPUBLIC  </w:t>
        <w:br/>
        <w:t xml:space="preserve">Decision No. 10-DEX-01 of September 13, 2010  </w:t>
        <w:br/>
        <w:t xml:space="preserve">regarding the creation of a joint venture by Veolia  </w:t>
        <w:br/>
        <w:t xml:space="preserve">Environment and the Caisse des Dépôts et Consignations  </w:t>
        <w:br/>
        <w:t xml:space="preserve">The Competition Authority,  </w:t>
        <w:br/>
        <w:t xml:space="preserve">Having regard to the notification file submitted to the European Commission on June 25, 2010, and received by the Competition Authority on June 30, 2010, regarding the creation of a joint venture by Veolia Environment and the Caisse des Dépôts et Consignations, formalized by a merger protocol dated May 4, 2010, and a shareholders' agreement dated May 4, 2010;  </w:t>
        <w:br/>
        <w:t xml:space="preserve">Having regard to the referral decision of the European Commission of August 12, 2010, pursuant to Article 9(3)(b) of Council Regulation (EC) No. 139/2004 following the referral request submitted by the Competition Authority on July 20, 2010;  </w:t>
        <w:br/>
        <w:t xml:space="preserve">Having regard to Book IV of the Commercial Code relating to price and competition freedom, and in particular Articles L. 430-1 to L. 430-7;  </w:t>
        <w:br/>
        <w:t xml:space="preserve">Adopts the following decision:  </w:t>
        <w:br/>
        <w:t xml:space="preserve">1. Veolia Environment is an international group active in the sectors (i) of delegated management of water and sanitation services through its division Veolia Eau, (ii) of cleanliness and waste treatment services via its subsidiary Veolia Propreté, (iii) of energy services through its subsidiary Dalkia, and (iv) of delegated management of transport services via its subsidiary Veolia Transport. Veolia Transport's main activity is the provision of public passenger transport services and thus ensures, in France as well as abroad, the delegated management of networks, notably urban and interurban, for all types of vehicles (buses, coaches, subways…). In 2009, the total consolidated global turnover of Veolia Environment amounted to approximately 34.5 billion euros, of which approximately [&gt;250 million] euros was generated in the European Union, including […] euros in France.  </w:t>
        <w:br/>
        <w:t xml:space="preserve">2. The Caisse des Dépôts et Consignations (hereinafter CDC) is a public institution governed by Articles L. 518-2 and following of the Monetary and Financial Code, which fulfills missions of general interest in support of public policies conducted by the State and local authorities (deposits on savings accounts that finance social rental housing and urban renewal, regulated deposits and consignments, pensions, and social security cash flow) and which engages in activities open to competition. These are grouped around four sectors: (i) personal insurance through CNP Assurances, (ii) real estate directly and through Icade and the Société Nationale Immobilière, (iii) services, through Transdev (public passenger transport), Egedis (infrastructure engineering), the Compagnie des Alpes (operation of ski resorts and leisure sites), and Belambra (operation of tourist residences of eight hotels), (iv) SME development and venture capital through CDC Entreprises, the Strategic Investment Fund, and Qualium Investissement. The CDC group achieved a consolidated global turnover excluding taxes of [&gt;5] billion euros in 2009, of which […] in France.  </w:t>
        <w:br/>
        <w:t xml:space="preserve">3. According to the merger protocol dated May 4, 2010, it is provided that Veolia Environment and the CDC will contribute their respective transport subsidiaries, namely Veolia Transport and Transdev, within a new entity in which Veolia Environment and the CDC will each hold 50% of the capital and voting rights. Under the shareholders' agreement dated May 4, 2010, Veolia Environment will appoint four members to the board of directors of the newly created entity, with the CDC appointing the remaining three members. Strategic decisions of said board of directors will be adopted by a two-thirds majority. It follows from the above that, following the proposed operation, the CDC and Veolia Environment will exercise joint control over the new entity.  </w:t>
        <w:br/>
        <w:t xml:space="preserve">4. The operation was notified to the European Commission on June 25, 2010, as the community thresholds were met and the operation constitutes a concentration within the meaning of Article 3(1)(b) of Council Regulation (EC) No. 139/2004 of January 20, 2004, concerning the control of concentrations between undertakings. Indeed, (i) the total global turnover achieved by all the concerned companies exceeds 5 billion euros, (ii) the total turnover achieved individually in the Union by at least two concerned companies exceeds 250 million euros, and (iii) only the CDC recorded more than two-thirds of its turnover from the Union in France.  </w:t>
        <w:br/>
        <w:t xml:space="preserve">5. By letter dated July 20, 2010, the Competition Authority requested a partial referral of the operation for the part of the concentration relating to France, pursuant to Article 9(2)(a) of Council Regulation (EC) No. 139/2004 on concentrations, in order to examine it under national competition law. The Competition Authority indeed considered that the proposed operation threatened to affect the markets for public urban and interurban passenger transport outside Île-de-France as well as the market for public passenger transport in Île-de-France. According to the assessment made by the Authority, these markets are at most of national dimension and, for some, subnational, and exhibit all the characteristics of distinct markets. The European Commission decided, on August 12, 2010, to refer the operation to the Competition Authority pursuant to Article 9(3)(b) of the aforementioned regulation.  </w:t>
        <w:br/>
        <w:t xml:space="preserve">6. The part relating to France of the operation to create a joint venture by Veolia Environment and the CDC is therefore subject, pursuant to point IV of Article L. 430-2 of the Commercial Code, to French control of concentrations.  </w:t>
        <w:br/>
        <w:t xml:space="preserve">7. The examination provided for in I of Article L. 430-5 of the Commercial Code, which has been conducted, leaves serious doubts regarding the impact on competition. The operation indeed leads to significant overlaps in activities on French territory for each of the aforementioned markets, which may result in unilateral effects as well as coordinated effects.  </w:t>
        <w:br/>
        <w:t xml:space="preserve">* Correction of a material error  </w:t>
        <w:br/>
        <w:t xml:space="preserve">2  </w:t>
        <w:br/>
        <w:t xml:space="preserve">8. It is therefore necessary to initiate a thorough examination, pursuant to III of Article L. 430-5 of the Commercial Code.  </w:t>
        <w:br/>
        <w:t xml:space="preserve">DECIDES  </w:t>
        <w:br/>
        <w:t xml:space="preserve">Sole Article: The operation notified under number 10-031 is subject to a thorough examination under the conditions provided for in Article L. 430-6 of the Commercial Code.  </w:t>
        <w:br/>
        <w:t xml:space="preserve">The President,  </w:t>
        <w:br/>
        <w:t xml:space="preserve">Bruno Lasserre  </w:t>
        <w:br/>
        <w:t xml:space="preserve">© Competition Authority  </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