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https://www.autoritedelaconcurrence.fr/fr/decision-de-controle-des-concentrations/relative-la-creation-dune-entreprise-commune-par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19-DCC-102 of May 17, 2019  </w:t>
        <w:br/>
        <w:t xml:space="preserve">regarding the creation of a joint venture by Établissement  </w:t>
        <w:br/>
        <w:t xml:space="preserve">Public Foncier d’Île-de-France and the Caisse des Dépôts et  </w:t>
        <w:br/>
        <w:t xml:space="preserve">Consignations  </w:t>
        <w:br/>
        <w:t xml:space="preserve">The Competition Authority,  </w:t>
        <w:br/>
        <w:t xml:space="preserve">Having regard to the complete notification file submitted to the mergers department on April 12, 2019,  </w:t>
        <w:br/>
        <w:t xml:space="preserve">concerning the creation of a joint venture by Établissement Public Foncier d’Île-de-France  </w:t>
        <w:br/>
        <w:t xml:space="preserve">(hereinafter "EPFIF") and the Caisse des Dépôts et Consignations (hereinafter "CDC"), formalized  </w:t>
        <w:br/>
        <w:t xml:space="preserve">by the board of directors' resolutions of EPFIF on October 5, 2018, and March 15, 2019,  </w:t>
        <w:br/>
        <w:t xml:space="preserve">and the CDC's commitment committee on July 27,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creation of a fully operational joint venture by  </w:t>
        <w:br/>
        <w:t xml:space="preserve">EPFIF and CDC, which is active in the real estate services sector. It constitutes  </w:t>
        <w:br/>
        <w:t xml:space="preserve">a concentration within the meaning of Article L. 430-1 of the Commercial Code. Given the revenues  </w:t>
        <w:br/>
        <w:t xml:space="preserve">generated by the companies involved, the operation does not fall under the jurisdiction of  </w:t>
        <w:br/>
        <w:t xml:space="preserve">the European Union. However, the control thresholds mentioned in I of Article L. 430-2  </w:t>
        <w:br/>
        <w:t xml:space="preserve">of the Commercial Code are exceeded. This operation is therefore subject to the provisions  </w:t>
        <w:br/>
        <w:t xml:space="preserve">of Articles L. 430-3 and following of the Commercial Code relating to economic concentration.  </w:t>
        <w:br/>
        <w:t xml:space="preserve">2. The markets concerned by the operation are those of real estate services, which are consistently defined  </w:t>
        <w:br/>
        <w:t xml:space="preserve">by the decision-making practice of the Competition Authority.  </w:t>
        <w:br/>
        <w:t xml:space="preserve">3. Regardless of the segmentation considered, the combined market shares of the parties are  </w:t>
        <w:br/>
        <w:t xml:space="preserve">below 25% when their activities overlap or 30% in the case of presence in an upstream, downstream, or related market of one of the parties.  </w:t>
        <w:br/>
        <w:t xml:space="preserve">4. Considering the elements of the file and in particular point 384 of the guidelines of  </w:t>
        <w:br/>
        <w:t xml:space="preserve">the Competition Authority relating to the control of concentrations, the operation is not likely to  </w:t>
        <w:br/>
        <w:t>harm competition.</w:t>
      </w:r>
    </w:p>
    <w:p>
      <w:r>
        <w:t xml:space="preserve">DECIDES  </w:t>
        <w:br/>
        <w:t xml:space="preserve">Sole Article: The operation notified under number 19-096 is authorized.  </w:t>
        <w:br/>
        <w:t xml:space="preserve">The Vice-President,  </w:t>
        <w:br/>
        <w:t xml:space="preserve">Irène Luc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