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https://www.autoritedelaconcurrence.fr/fr/decision-de-controle-des-concentrations/relative-la-creation-dune-societe-de-groupe-assuranciel-de</w:t>
      </w:r>
    </w:p>
    <w:p>
      <w:r>
        <w:t>Pages translated : 5</w:t>
      </w:r>
    </w:p>
    <w:p/>
    <w:p>
      <w:r>
        <w:rPr>
          <w:b/>
        </w:rPr>
        <w:t>[Pages 1–3]</w:t>
      </w:r>
    </w:p>
    <w:p>
      <w:r>
        <w:t xml:space="preserve">FRENCH REPUBLIC  </w:t>
        <w:br/>
        <w:t xml:space="preserve">Decision No. 17-DCC-49 of April 20, 2017  </w:t>
        <w:br/>
        <w:t>regarding the creation of a social protection insurance group company ("SGAPS") between the companies Smatis France and Uniprévoyance</w:t>
      </w:r>
    </w:p>
    <w:p>
      <w:r>
        <w:t xml:space="preserve">The Competition Authority,  </w:t>
        <w:br/>
        <w:t xml:space="preserve">Having regard to the notification file submitted in full to the concentrations service on March 23, 2017, regarding the creation of the social protection insurance group company (hereinafter "SGAPS") UGO by the provident institution Uniprévoyance and the mutual Smatis France, formalized by two affiliation agreements signed on February 22, 2017, between SGAPS UGO and Smatis, on the one hand, and between SGAPS UGO and Uniprévoyance on February 24, 2017, on the other hand;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Uniprévoyance is a provident institution created in 1978 and governed by the provisions of Book IX of the Social Security Code. It is administered equally by members of the subscriber college, representing client companies, and members of the participant college, representing insured individuals, employees, former employees, and retirees. The institution is approved for the branches of activity of accident, illness, and life-death. Uniprévoyance has the status of a provident institution, it is a partnership and therefore has no shareholders. It holds no stake in other companies.  </w:t>
        <w:br/>
        <w:t>2. Smatis France (hereinafter, "Smatis") is a mutual created in 1943 and governed by the Mutuality Code. It is approved for the branches of activity of accident, illness, and life-death. Smatis has the status of a mutual, it is a partnership and therefore has no shareholders. It controls, within the meaning of competition law, three companies: Société civile du Piave, Smatis Innovation, and SPS Solutions.</w:t>
      </w:r>
    </w:p>
    <w:p>
      <w:r>
        <w:t xml:space="preserve">3. Under the terms of the affiliation agreements signed on February 22, 2017, between SGAPS UGO and the company Smatis, on the one hand, and between SGAPS UGO and the company Uniprévoyance on February 24, 2017, on the other hand, the operation consists of the establishment of a social protection insurance group company to which the organizations Smatis and Uniprévoyance will be affiliated. The creation of this SGAPS will establish financial solidarity links between the parties, an essential characteristic of this type of grouping, which aims to better meet the regulatory solvency requirements.  </w:t>
        <w:br/>
        <w:t xml:space="preserve">4. A SGAPS is a legal form introduced into the Social Security Code by Ordinance No. 2015-378 of April 2, 2015, transposing Directive 2009/138/EC of the European Parliament and of the Council of November 25, 2009, on access to insurance and reinsurance activities and their exercise.  </w:t>
        <w:br/>
        <w:t xml:space="preserve">5. On the occasion of a previous operation1, the Authority has already had the opportunity to examine the establishment of this type of grouping. Like the decision-making practice concerning parity provident groupings ("GPP")2, SGAPS constitute, along with the entities that compose them, businesses within the meaning of competition law. Indeed, Article L. 931-2-2 of the Social Security Code states that a SGAPS "must effectively exercise a dominant influence through centralized coordination over the decisions, including financial decisions, of the affiliated organizations." To this end, a SGAPS has control powers, particularly over the management of the affiliated organizations, and exercises a sanction power against them (Article R. 931-1-16 of the Social Security Code).  </w:t>
        <w:br/>
        <w:t xml:space="preserve">6. It is particularly the responsibility of the board of directors of a SGAPS to determine the orientations of its activity and to ensure their implementation. For this purpose, the board of directors has a power of control and verification (Article R. 931-1-21 of the Social Security Code). Its directors are finally appointed by the general assembly, which is composed of the affiliated organizations (Article R. 931-1-18 of the Social Security Code).  </w:t>
        <w:br/>
        <w:t xml:space="preserve">7. Under the terms of the two aforementioned affiliation agreements, the operation constitutes a de facto merger in that it leads to the combination of activities of previously independent companies within a single economic entity. Indeed, Smatis and Uniprévoyance, which will become affiliated organizations of SGAPS UGO following the operation, will be subject to the decisions made by its board of directors, whose directors are predominantly appointed by Uniprévoyance. The operation therefore constitutes a concentration within the meaning of Article L. 430-1 of the Commercial Code.  </w:t>
        <w:br/>
        <w:t xml:space="preserve">8. The concerned companies together achieve a total turnover excluding taxes on a global scale of more than 150 million euros (Uniprévoyance: 618.5 million euros for the fiscal year ending December 31, 2015; Smatis: 84.4 million euros for the same fiscal year). In France, the concerned companies achieved a turnover exceeding 50 million euros (Uniprévoyance: 618.5 million euros for the fiscal year ending December 31, 2015; Smatis: 84.4 million euros for the same fiscal year). Given these turnover figures, the operation does not fall under the jurisdiction of the European Union. However, the control thresholds mentioned in I of Article L. 430-2 of the Commercial Code are exceeded. This  </w:t>
        <w:br/>
        <w:t xml:space="preserve">1 Decision of the Competition Authority No. 16-DCC-185 of December 2, 2016, regarding the creation of a social protection insurance group company by the provident institution Apicil Prévoyance, the Mutual Micils, the Mutual Miel, the Mutual of building and public works of the Southeast, and the Mutual of building and public works of the North.  </w:t>
        <w:br/>
        <w:t>2 Decision of the Competition Authority No. 11-DCC-155 of October 24, 2011, regarding the acquisition of control of the company Coparc SA by the company Apicil Prévoyance.</w:t>
      </w:r>
    </w:p>
    <w:p>
      <w:r>
        <w:t>operation is therefore subject to the provisions of Articles L. 430-3 et seq. of the Commercial Code relating to economic concentration.</w:t>
      </w:r>
    </w:p>
    <w:p>
      <w:r>
        <w:t xml:space="preserve">II. Definition of Relevant Markets  </w:t>
        <w:br/>
        <w:t xml:space="preserve">9. The parties are simultaneously active in the markets for the production of insurance products3.  </w:t>
        <w:br/>
        <w:t xml:space="preserve">A. PRODUCT MARKETS  </w:t>
        <w:br/>
        <w:t xml:space="preserve">10. In the insurance sector, decision-making practice consistently distinguishes between the markets for personal insurance, property and casualty insurance, and reinsurance. Each of these markets can be further segmented into as many markets as there are insurances covering different types of risks, insofar as, from the demand perspective, insurance products covering these different risks are not substitutable4.  </w:t>
        <w:br/>
        <w:t xml:space="preserve">11. The parties are simultaneously active in the markets for personal insurance products, and more specifically in the market for supplementary health insurance. This market includes insurance products that guarantee beneficiaries in the event of illness, accident, or maternity and aim to provide insured individuals with complementary coverage for health expenses.  </w:t>
        <w:br/>
        <w:t xml:space="preserve">12. Furthermore, in the market for personal insurance products, an additional segmentation is made between group insurance contracts, concluded between an insurer and a subscriber distinct from the beneficiary, and individual insurance contracts for which the subscriber is also the beneficiary5.  </w:t>
        <w:br/>
        <w:t xml:space="preserve">13. In this case, the parties are simultaneously present in the market for collective supplementary health insurance.  </w:t>
        <w:br/>
        <w:t xml:space="preserve">B. GEOGRAPHICAL MARKETS  </w:t>
        <w:br/>
        <w:t xml:space="preserve">14. Regarding the geographical definition of the markets for the production of insurance products, decision-making practice considers that, with the exception of certain insurances covering large-scale risks, these markets are of national dimension considering  </w:t>
        <w:br/>
        <w:t xml:space="preserve">3 Smatis and Uniprévoyance are also marginally present in the markets for the distribution of insurance products.  </w:t>
        <w:br/>
        <w:t xml:space="preserve">4 See for example the decisions of the European Commission COMP/M.5083, GROUPAMA / OTP GARANCIA of April 15, 2008, COMP/M.3556, FORTIS / BCP of January 19, 2005, IV/M.862, AXA / UAP of December 20, 1996, as well as the decision of the Competition Authority No. 09-DCC-16 of June 22, 2009, regarding the merger between the Caisse d’Épargne and Banque Populaire groups, and the letters from the Minister of Economy, Finance and Employment dated October 1, 2007, to the board of the Swiss Insurance Holdings Company, regarding a concentration in the life insurance and capitalization sector, and dated September 10, 2008, to the board of the company Esca, regarding a concentration in the insurance sector.  </w:t>
        <w:br/>
        <w:t>5 Decisions of the Competition Authority No. 14-DCC-149 of October 13, 2014, regarding the merger of the AG2R La Mondiale group and the mutual ViaSanté, and No. 15-DCC-109 of August 10, 2015, regarding the creation of a fully operational joint venture SAFM by MGEN and Harmonie mutuelle.</w:t>
      </w:r>
    </w:p>
    <w:p>
      <w:r>
        <w:rPr>
          <w:b/>
        </w:rPr>
        <w:t>[Pages 4–5]</w:t>
      </w:r>
    </w:p>
    <w:p>
      <w:r>
        <w:t>taking into account consumer preferences, the existence of national tax regulations, the current structure of these markets, or even the regulatory systems concerning this sector of activity6.</w:t>
      </w:r>
    </w:p>
    <w:p>
      <w:r>
        <w:t>III. Competitive Analysis</w:t>
      </w:r>
    </w:p>
    <w:p>
      <w:r>
        <w:t>15. In the national market for personal insurance, the new entity will hold a market share by value estimated at nearly [0-5]% ([0-5]% for Smatis and [0-5]% for Uniprévoyance).</w:t>
      </w:r>
    </w:p>
    <w:p>
      <w:r>
        <w:t>16. In the national market for supplementary health insurance, the new entity will hold a market share by value estimated at [0-5]% ([0-5]% for Smatis and [0-5]% for Uniprévoyance).</w:t>
      </w:r>
    </w:p>
    <w:p>
      <w:r>
        <w:t>17. Finally, in the segment of the production of group contracts for supplementary health insurance in France, the combined market share of the parties is estimated at [0-5]% ([0-5]% for Smatis and [0-5]% for Uniprévoyance). The new entity will face competition from the groups Malakoff Médéric, AG2R La Mondiale, Axa France, or Humanis, each holding a market share of approximately [10-20]%.</w:t>
      </w:r>
    </w:p>
    <w:p>
      <w:r>
        <w:t>18. Therefore, the operation is not likely to harm competition in the relevant markets.</w:t>
      </w:r>
    </w:p>
    <w:p>
      <w:r>
        <w:t>6 See in particular decisions No. 15-DCC-151 and No. 14-DCC-161 mentioned above and the decision of the European Commission M.4701 of December 3, 2007, Generali / PPF Insurance Business.</w:t>
      </w:r>
    </w:p>
    <w:p>
      <w:r>
        <w:t>* Correction of material error</w:t>
      </w:r>
    </w:p>
    <w:p>
      <w:r>
        <w:t>DECIDES</w:t>
      </w:r>
    </w:p>
    <w:p>
      <w:r>
        <w:t>Sole Article: The operation notified under number 16-192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