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https://www.autoritedelaconcurrence.fr/fr/decision-de-controle-des-concentrations/relative-la-creation-dune-societe-de-groupe-assurantiel-de</w:t>
      </w:r>
    </w:p>
    <w:p>
      <w:r>
        <w:t>Pages translated : 4</w:t>
      </w:r>
    </w:p>
    <w:p/>
    <w:p>
      <w:r>
        <w:rPr>
          <w:b/>
        </w:rPr>
        <w:t>[Pages 1–3]</w:t>
      </w:r>
    </w:p>
    <w:p>
      <w:r>
        <w:t xml:space="preserve">FRENCH REPUBLIC  </w:t>
        <w:br/>
        <w:t xml:space="preserve">Decision No. 16-DCC-185 of December 2, 2016  </w:t>
        <w:br/>
        <w:t>regarding the creation of a social protection insurance group company by the provident institution Apicil Prévoyance, the Micils Mutual, the Miel Mutual, the Southeast Building and Public Works Mutual, and the North Building and Public Works Mutual</w:t>
      </w:r>
    </w:p>
    <w:p>
      <w:r>
        <w:t xml:space="preserve">The Competition Authority,  </w:t>
        <w:br/>
        <w:t xml:space="preserve">Having regard to the notification file submitted in full to the concentrations service on October 31, 2016, regarding the creation of a social protection insurance group company by the provident institution Apicil Prévoyance, the Micils Mutual, the Miel Mutual, the Southeast Building and Public Works Mutual, and the North Building and Public Works Mutual, formalized by the minutes of the extraordinary general meeting of the joint provident group Confluent on June 30, 2016, and by the statutes of the social protection insurance group company Apicil;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joint provident group Confluent (hereinafter respectively referred to as "GPP" and "Confluent") currently consists of the provident institution Apicil Prévoyance, the insurance company Apicil Assurances, the Micils Mutual, and the Miel Mutual.  </w:t>
        <w:br/>
        <w:t>1 The Southwest Mutuality has been excluded from Confluent during its extraordinary general meeting on June 30, 2016.</w:t>
      </w:r>
    </w:p>
    <w:p>
      <w:r>
        <w:t xml:space="preserve">2. Apicil Prévoyance's primary purpose is to enter into commitments in the areas of provident funds, health insurance, or savings. Apicil Prévoyance holds 100% of the capital of Gresham and 80% of that of Apicil Assurances, which holds 100% of the capital of Skandia Life. Gresham is active in the banking and insurance services sector. It offers, in particular, a range of products dedicated to businesses, in the areas of retirement, health-provident funds, and employee savings. Apicil Assurances and Skandia Life operate in the life insurance market. Apicil Prévoyance currently has exclusive control over Confluent.  </w:t>
        <w:br/>
        <w:t xml:space="preserve">3. The Micils Mutual and the Miel Mutual, members of Confluent, are both active in the personal insurance sector.  </w:t>
        <w:br/>
        <w:t xml:space="preserve">4. The Southeast Building and Public Works Mutual is a mutual subject to the provisions of Book II of the Mutuality Code. It covers accident risk, health risk, and life-death risk.  </w:t>
        <w:br/>
        <w:t xml:space="preserve">5. The North Building and Public Works Mutual is also a mutual subject to the provisions of Book II of the Mutuality Code. Its purpose is to develop mutuality in the building, public works, and interprofessional sectors.  </w:t>
        <w:br/>
        <w:t xml:space="preserve">6. Following the adoption of Ordinance No. 2015-378 of April 2, 2015, transposing Directive 2009/138/EC of the European Parliament and of the Council of November 25, 2009, on access to insurance and reinsurance activities and their exercise, Confluent decided, during its extraordinary general meeting on June 30, 2016, to transform into a social protection insurance group company (hereinafter referred to as "SGAPS") named Apicil (hereinafter referred to as "Apicil").  </w:t>
        <w:br/>
        <w:t xml:space="preserve">7. Like the decision-making practice concerning GPPs, SGAPSs, along with the entities that compose them, constitute companies within the meaning of competition law. Indeed, Article L. 931-2-2 of the Social Security Code states that an SGAPS "must effectively exercise a dominant influence through centralized coordination over the decisions, including financial ones, of the affiliated entities." To this end, an SGAPS has control powers, including management, over the affiliated entities and exercises a sanction power against them (Article R. 931-1-16 of the Social Security Code).  </w:t>
        <w:br/>
        <w:t xml:space="preserve">8. It is particularly the responsibility of the board of directors of an SGAPS to determine the orientations of its activity and to ensure their implementation. For this purpose, the board of directors has a power of control and verification (Article R. 931-1-21 of the Social Security Code). Its directors are finally appointed by the general assembly, which is composed of the affiliated entities (Article R. 931-1-18 of the Social Security Code).  </w:t>
        <w:br/>
        <w:t xml:space="preserve">9. The operation consists of affiliating to the GPP Confluent, currently composed of the provident institution Apicil Prévoyance, the Micils Mutual, and the Miel Mutual, two new members, the Southeast Building and Public Works Mutual and the North Building and Public Works Mutual, which each voted for their membership in Apicil on June 29 and June 26, 2016, respectively, with the aim of creating the SGAPS Apicil.  </w:t>
        <w:br/>
        <w:t xml:space="preserve">10. The entry of the Southeast Building and Public Works Mutual and the North Building and Public Works Mutual into the SGAPS Apicil constitutes a de facto merger as it leads to the combination of activities of previously independent companies within a single economic entity that will remain exclusively controlled by Apicil Prévoyance. Indeed, these two mutuals, which will become affiliated entities of the SGAPS Apicil following the operation, will be subject to the decisions made by its board of directors, whose members are predominantly appointed by Apicil Prévoyance. The operation therefore constitutes a concentration within the meaning of Article L. 430-1 of the Commercial Code.  </w:t>
        <w:br/>
        <w:t>11. The companies concerned together achieve a total worldwide turnover excluding taxes of more than 150 million euros (Apicil Prévoyance: 2.1 billion euros for the fiscal year ending December 31, 2015; Southeast Building and Public Works Mutual: 62 million euros for the same fiscal year; North Building and Public Works Mutual: 16 million euros for the same fiscal year). At least two of these companies have achieved a turnover in France exceeding 50 million euros (Apicil Prévoyance: 2.1 billion euros for the fiscal year ending December 31, 2015; Southeast Building and Public Works Mutual: 62 million euros for the same fiscal year; North Building and Public Works Mutual: 16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PRODUCT MARKETS  </w:t>
        <w:br/>
        <w:t xml:space="preserve">12. The decision-making practice distinguishes between personal insurance markets, damage insurance markets, and reinsurance markets. The first category of products can be segmented into as many markets as there are insurances covering different types of risks, insofar as, from the demand perspective, the insurances covering these different risks are not substitutable.  </w:t>
        <w:br/>
        <w:t xml:space="preserve">13. The parties are simultaneously present in the personal insurance product markets, and more specifically in the complementary health insurance markets, which include insurance products that guarantee beneficiaries in the event of illness, accident, or maternity and aim to provide insured individuals with additional coverage for health expenses.  </w:t>
        <w:br/>
        <w:t xml:space="preserve">14. Furthermore, in the personal insurance product market, an additional segmentation is made between collective insurance contracts, concluded between an insurer and a subscriber distinct from the beneficiary, and individual insurance contracts for which the subscriber is also the beneficiary.  </w:t>
        <w:br/>
        <w:t>15. In this case, the parties are simultaneously active in the individual and collective complementary health insurance markets.</w:t>
      </w:r>
    </w:p>
    <w:p>
      <w:r>
        <w:rPr>
          <w:b/>
        </w:rPr>
        <w:t>[Pages 4–4]</w:t>
      </w:r>
    </w:p>
    <w:p>
      <w:r>
        <w:t xml:space="preserve">B. GEOGRAPHICAL MARKETS  </w:t>
        <w:br/>
        <w:t xml:space="preserve">16. Regarding the geographical delimitation of markets, with the exception of certain insurances covering large-scale risks, insurance product markets have been considered to be of national dimension due to consumer preferences, the existence of national legislation and tax constraints, the current structure of these markets, and regulatory systems.  </w:t>
        <w:br/>
        <w:t xml:space="preserve">17. In any case, the exact delimitation of insurance markets may be left open, as the conclusions of the competitive analysis remain unchanged regardless of the segmentations adopted.  </w:t>
        <w:br/>
        <w:t xml:space="preserve">III. Competitive Analysis  </w:t>
        <w:br/>
        <w:t xml:space="preserve">18. Given the positions of the parties, the operation results in only minor overlaps in activity. Indeed, in the complementary health insurance market, the new entity will hold an estimated market share by value of approximately 1.4% in France. Similarly, in the segment of individual insurance contracts, the market share of the new entity is estimated at 1%; in the segment of collective insurance contracts, this market share is estimated at 3%.  </w:t>
        <w:br/>
        <w:t xml:space="preserve">19. Therefore, the operation is not likely to harm competition in the relevant markets.  </w:t>
        <w:br/>
        <w:t xml:space="preserve">DECIDES  </w:t>
        <w:br/>
        <w:t xml:space="preserve">Single Article: The operation notified under number 16-100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